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r>
              <w:t>22 July 2026</w:t>
            </w:r>
          </w:p>
        </w:tc>
      </w:tr>
      <w:tr w:rsidR="00604E29" w14:paraId="7A66939B" w14:textId="77777777">
        <w:tc>
          <w:tcPr>
            <w:tcW w:w="4695" w:type="dxa"/>
          </w:tcPr>
          <w:p w14:paraId="2D366549" w14:textId="77777777" w:rsidR="00604E29" w:rsidRDefault="00000000">
            <w:r>
              <w:t>Team ID</w:t>
            </w:r>
          </w:p>
        </w:tc>
        <w:tc>
          <w:tcPr>
            <w:tcW w:w="4335" w:type="dxa"/>
          </w:tcPr>
          <w:p>
            <w:r>
              <w:t>TEAM-HT-2026</w:t>
            </w:r>
          </w:p>
        </w:tc>
      </w:tr>
      <w:tr w:rsidR="00604E29" w14:paraId="0E84FB5D" w14:textId="77777777">
        <w:tc>
          <w:tcPr>
            <w:tcW w:w="4695" w:type="dxa"/>
          </w:tcPr>
          <w:p w14:paraId="4C398D34" w14:textId="77777777" w:rsidR="00604E29" w:rsidRDefault="00000000">
            <w:r>
              <w:t>Project Name</w:t>
            </w:r>
          </w:p>
        </w:tc>
        <w:tc>
          <w:tcPr>
            <w:tcW w:w="4335" w:type="dxa"/>
          </w:tcPr>
          <w:p>
            <w:r>
              <w:t>Heritage Treasures: An In-Depth Analysis of UNESCO World Heritage Sites in Tableau</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r>
              <w:t>Heritage conservation analysts, tourism boards and policy makers cannot easily see which countries hold the most UNESCO World Heritage Sites, which sites are 'In Danger', or how regional inscription trends have evolved over time — the raw dataset is large, unstructured and split across many attributes.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r>
              <w:t>An interactive Tableau workbook with three core visualizations – a country-wise treemap sized by site count, a pie chart of sites In Danger vs Not in Danger, and a regional inscription trend line – combined into one responsive dashboard and a guided story, published and embedded into a Flask web app.</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r>
              <w:t>Combines distribution, risk-status and time-trend views of the UNESCO dataset in a single filterable dashboard rather than three disconnected reports, and adds a narrated Story feature to walk non-technical stakeholders through the findings.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r>
              <w:t>Helps conservation bodies and governments prioritize funding toward at-risk sites and highlights regions making strong preservation progress, supporting cultural heritage protection worldwide.</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r>
              <w:t>Primarily a public-interest/educational analytics tool; can be extended as a subscription or licensed reporting service for tourism boards, NGOs, or heritage consultancies needing custom regional reports.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r>
              <w:t>Built on calculated fields and filters rather than hard-coded values, so the workbook can absorb future UNESCO dataset updates, additional years, or new attributes (e.g. visitor numbers) without redesign.</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