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22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TEAM-HT-2026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Heritage Treasures: An In-Depth Analysis of UNESCO World Heritage Sites in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a Heritage Conservation Analyst / Government Policy Maker</w:t>
            </w:r>
          </w:p>
        </w:tc>
        <w:tc>
          <w:tcPr/>
          <w:p>
            <w:r>
              <w:t>identify which countries and regions have the most UNESCO World Heritage Sites and the highest concentration of sites 'In Danger'</w:t>
            </w:r>
          </w:p>
        </w:tc>
        <w:tc>
          <w:tcPr/>
          <w:p>
            <w:r>
              <w:t>the raw UNESCO dataset is large, unstructured, and spread across many attributes (Country, Region, Danger, Date_inscribed)</w:t>
            </w:r>
          </w:p>
        </w:tc>
        <w:tc>
          <w:tcPr/>
          <w:p>
            <w:r>
              <w:t>there is no single, easy-to-read view that shows the true scale of at-risk sites at a glance</w:t>
            </w:r>
          </w:p>
        </w:tc>
        <w:tc>
          <w:tcPr/>
          <w:p>
            <w:r>
              <w:t>overwhelmed and unable to prioritize conservation funding and preservation efforts effectively</w:t>
            </w:r>
          </w:p>
        </w:tc>
      </w:tr>
      <w:tr>
        <w:trPr>
          <w:cantSplit w:val="0"/>
          <w:tblHeader w:val="0"/>
        </w:trPr>
        <w:tc>
          <w:tcPr/>
          <w:p>
            <w:r>
              <w:t>PS-2</w:t>
            </w:r>
          </w:p>
        </w:tc>
        <w:tc>
          <w:tcPr/>
          <w:p>
            <w:r>
              <w:t>a Tourism Board Official / Cultural Researcher</w:t>
            </w:r>
          </w:p>
        </w:tc>
        <w:tc>
          <w:tcPr/>
          <w:p>
            <w:r>
              <w:t>understand how heritage site inscriptions have trended over time across different regions</w:t>
            </w:r>
          </w:p>
        </w:tc>
        <w:tc>
          <w:tcPr/>
          <w:p>
            <w:r>
              <w:t>the inscription dates and regional groupings are buried in raw rows with no visual trend</w:t>
            </w:r>
          </w:p>
        </w:tc>
        <w:tc>
          <w:tcPr/>
          <w:p>
            <w:r>
              <w:t>manually tracking growth patterns year over year is slow and error-prone</w:t>
            </w:r>
          </w:p>
        </w:tc>
        <w:tc>
          <w:tcPr/>
          <w:p>
            <w:r>
              <w:t>unable to confidently identify which regions are increasing their conservation efforts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