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TEAM-HT-2026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Heritage Treasures: An In-Depth Analysis of UNESCO World Heritage Sites in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>
            <w:r>
              <w:t>1,121 UNESCO World Heritage Site records loaded from the 2019 dataset (Country, Name_en, Region, Danger, Date_inscribed, Category and coordinate fields).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>
            <w:r>
              <w:t>Removed duplicate/null rows, standardized Country and Region names, converted Date_inscribed to a Date field, and derived the Danger flag from the raw status column.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>
            <w:r>
              <w:t>3 interactive filters applied across the dashboard – Region, Category (Cultural/Natural/Mixed), and Year range (Date_inscribed) – all set to affect every worksheet.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>
            <w:r>
              <w:t>4 calculated fields – Danger Flag, Years Since Inscription, Region Rank, and Site Count – used to drive the treemap sizing, danger pie chart, and trend line.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No of Visualizations / Graphs - 3 (Country Treemap, Danger Pie Chart, Regional Inscription Trend Line) combined into a single responsive dashboard with filter actions.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No of Visualizations / Graphs - 3 story points (Overview, Sites at Risk, Regional Trends) reusing the dashboard's worksheets with scene-specific captions.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