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Project Design Phase</w:t>
      </w:r>
    </w:p>
    <w:p>
      <w:pPr>
        <w:spacing w:after="200"/>
        <w:jc w:val="center"/>
      </w:pPr>
      <w:r>
        <w:rPr>
          <w:b/>
          <w:bCs/>
          <w:sz w:val="26"/>
          <w:szCs w:val="26"/>
        </w:rPr>
        <w:t xml:space="preserve">Solution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DCE6F1" w:val="clear"/>
            <w:vAlign w:val="center"/>
          </w:tcPr>
          <w:p>
            <w:r>
              <w:rPr>
                <w:b/>
                <w:bCs/>
              </w:rPr>
              <w:t xml:space="preserve">Date</w:t>
            </w:r>
          </w:p>
        </w:tc>
        <w:tc>
          <w:tcPr>
            <w:tcW w:type="dxa" w:w="6880"/>
            <w:vAlign w:val="center"/>
          </w:tcPr>
          <w:p>
            <w:r>
              <w:t xml:space="preserve">22 July 2026</w:t>
            </w:r>
          </w:p>
        </w:tc>
      </w:tr>
      <w:tr>
        <w:tc>
          <w:tcPr>
            <w:tcW w:type="dxa" w:w="3200"/>
            <w:shd w:fill="DCE6F1" w:val="clear"/>
            <w:vAlign w:val="center"/>
          </w:tcPr>
          <w:p>
            <w:r>
              <w:rPr>
                <w:b/>
                <w:bCs/>
              </w:rPr>
              <w:t xml:space="preserve">Team ID</w:t>
            </w:r>
          </w:p>
        </w:tc>
        <w:tc>
          <w:tcPr>
            <w:tcW w:type="dxa" w:w="6880"/>
            <w:vAlign w:val="center"/>
          </w:tcPr>
          <w:p>
            <w:r>
              <w:t xml:space="preserve"/>
            </w:r>
          </w:p>
        </w:tc>
      </w:tr>
      <w:tr>
        <w:tc>
          <w:tcPr>
            <w:tcW w:type="dxa" w:w="3200"/>
            <w:shd w:fill="DCE6F1" w:val="clear"/>
            <w:vAlign w:val="center"/>
          </w:tcPr>
          <w:p>
            <w:r>
              <w:rPr>
                <w:b/>
                <w:bCs/>
              </w:rPr>
              <w:t xml:space="preserve">Project Name</w:t>
            </w:r>
          </w:p>
        </w:tc>
        <w:tc>
          <w:tcPr>
            <w:tcW w:type="dxa" w:w="6880"/>
            <w:vAlign w:val="center"/>
          </w:tcPr>
          <w:p>
            <w:r>
              <w:t xml:space="preserve">Cosmetic Insights: Navigating Cosmetics Trends and Consumer Insights with Tableau</w:t>
            </w:r>
          </w:p>
        </w:tc>
      </w:tr>
      <w:tr>
        <w:tc>
          <w:tcPr>
            <w:tcW w:type="dxa" w:w="3200"/>
            <w:shd w:fill="DCE6F1" w:val="clear"/>
            <w:vAlign w:val="center"/>
          </w:tcPr>
          <w:p>
            <w:r>
              <w:rPr>
                <w:b/>
                <w:bCs/>
              </w:rPr>
              <w:t xml:space="preserve">Maximum Marks</w:t>
            </w:r>
          </w:p>
        </w:tc>
        <w:tc>
          <w:tcPr>
            <w:tcW w:type="dxa" w:w="6880"/>
            <w:vAlign w:val="center"/>
          </w:tcPr>
          <w:p>
            <w:r>
              <w:t xml:space="preserve">4 Marks</w:t>
            </w:r>
          </w:p>
        </w:tc>
      </w:tr>
    </w:tbl>
    <w:p>
      <w:pPr>
        <w:spacing w:after="200"/>
      </w:pPr>
    </w:p>
    <w:p>
      <w:pPr>
        <w:spacing w:after="120" w:before="240"/>
      </w:pPr>
      <w:r>
        <w:rPr>
          <w:b/>
          <w:bCs/>
          <w:color w:val="1F3864"/>
          <w:sz w:val="24"/>
          <w:szCs w:val="24"/>
        </w:rPr>
        <w:t xml:space="preserve">Solution Architecture</w:t>
      </w:r>
    </w:p>
    <w:p>
      <w:pPr>
        <w:spacing w:after="160"/>
      </w:pPr>
      <w:r>
        <w:rPr>
          <w:i w:val="false"/>
          <w:iCs w:val="false"/>
        </w:rPr>
        <w:t xml:space="preserve">Solution architecture bridges the gap between the business problem — disconnected brand, price, rank, and skin-type data — and the technology solution. For Cosmetic Insights, its goals are to:</w:t>
      </w:r>
    </w:p>
    <w:p>
      <w:pPr>
        <w:pStyle w:val="ListParagraph"/>
        <w:numPr>
          <w:ilvl w:val="0"/>
          <w:numId w:val="1"/>
        </w:numPr>
        <w:spacing w:after="70"/>
      </w:pPr>
      <w:r>
        <w:t xml:space="preserve">Find the best-fit tool to turn the raw cosmetics dataset into decision-ready insights (Tableau)</w:t>
      </w:r>
    </w:p>
    <w:p>
      <w:pPr>
        <w:pStyle w:val="ListParagraph"/>
        <w:numPr>
          <w:ilvl w:val="0"/>
          <w:numId w:val="1"/>
        </w:numPr>
        <w:spacing w:after="70"/>
      </w:pPr>
      <w:r>
        <w:t xml:space="preserve">Describe the structure and flow of data from raw file to published dashboard</w:t>
      </w:r>
    </w:p>
    <w:p>
      <w:pPr>
        <w:pStyle w:val="ListParagraph"/>
        <w:numPr>
          <w:ilvl w:val="0"/>
          <w:numId w:val="1"/>
        </w:numPr>
        <w:spacing w:after="70"/>
      </w:pPr>
      <w:r>
        <w:t xml:space="preserve">Define the core features (brand analysis, skin-type segmentation, interactive filters) and delivery phases</w:t>
      </w:r>
    </w:p>
    <w:p>
      <w:pPr>
        <w:pStyle w:val="ListParagraph"/>
        <w:numPr>
          <w:ilvl w:val="0"/>
          <w:numId w:val="1"/>
        </w:numPr>
        <w:spacing w:after="70"/>
      </w:pPr>
      <w:r>
        <w:t xml:space="preserve">Provide a clear reference other team members can build the dashboard against</w:t>
      </w:r>
    </w:p>
    <w:p>
      <w:pPr>
        <w:spacing w:after="160"/>
      </w:pPr>
    </w:p>
    <w:p>
      <w:pPr>
        <w:spacing w:after="120" w:before="240"/>
      </w:pPr>
      <w:r>
        <w:rPr>
          <w:b/>
          <w:bCs/>
          <w:color w:val="1F3864"/>
          <w:sz w:val="24"/>
          <w:szCs w:val="24"/>
        </w:rPr>
        <w:t xml:space="preserve">Cosmetic Insights — Architecture &amp; Data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c>
          <w:tcPr>
            <w:tcW w:type="dxa" w:w="1330"/>
            <w:shd w:fill="DDEBF7" w:val="clear"/>
            <w:tcMar>
              <w:top w:type="dxa" w:w="110"/>
              <w:left w:type="dxa" w:w="80"/>
              <w:bottom w:type="dxa" w:w="110"/>
              <w:right w:type="dxa" w:w="80"/>
            </w:tcMar>
            <w:vAlign w:val="center"/>
          </w:tcPr>
          <w:p>
            <w:pPr>
              <w:jc w:val="center"/>
            </w:pPr>
            <w:r>
              <w:rPr>
                <w:b/>
                <w:bCs/>
                <w:sz w:val="16"/>
                <w:szCs w:val="16"/>
              </w:rPr>
              <w:t xml:space="preserve">Cosmetics
Dataset
(CSV/Excel)</w:t>
            </w:r>
          </w:p>
        </w:tc>
        <w:tc>
          <w:tcPr>
            <w:tcW w:type="dxa" w:w="420"/>
            <w:tcBorders>
              <w:top w:val="none"/>
              <w:left w:val="none"/>
              <w:bottom w:val="none"/>
              <w:right w:val="none"/>
            </w:tcBorders>
            <w:vAlign w:val="center"/>
          </w:tcPr>
          <w:p>
            <w:pPr>
              <w:jc w:val="center"/>
            </w:pPr>
            <w:r>
              <w:rPr>
                <w:b/>
                <w:bCs/>
                <w:color w:val="1F3864"/>
                <w:sz w:val="24"/>
                <w:szCs w:val="24"/>
              </w:rPr>
              <w:t xml:space="preserve">→</w:t>
            </w:r>
          </w:p>
        </w:tc>
        <w:tc>
          <w:tcPr>
            <w:tcW w:type="dxa" w:w="1330"/>
            <w:shd w:fill="FFF2CC" w:val="clear"/>
            <w:tcMar>
              <w:top w:type="dxa" w:w="110"/>
              <w:left w:type="dxa" w:w="80"/>
              <w:bottom w:type="dxa" w:w="110"/>
              <w:right w:type="dxa" w:w="80"/>
            </w:tcMar>
            <w:vAlign w:val="center"/>
          </w:tcPr>
          <w:p>
            <w:pPr>
              <w:jc w:val="center"/>
            </w:pPr>
            <w:r>
              <w:rPr>
                <w:b/>
                <w:bCs/>
                <w:sz w:val="16"/>
                <w:szCs w:val="16"/>
              </w:rPr>
              <w:t xml:space="preserve">Data Prep
(Tableau Prep /
Python)</w:t>
            </w:r>
          </w:p>
        </w:tc>
        <w:tc>
          <w:tcPr>
            <w:tcW w:type="dxa" w:w="420"/>
            <w:tcBorders>
              <w:top w:val="none"/>
              <w:left w:val="none"/>
              <w:bottom w:val="none"/>
              <w:right w:val="none"/>
            </w:tcBorders>
            <w:vAlign w:val="center"/>
          </w:tcPr>
          <w:p>
            <w:pPr>
              <w:jc w:val="center"/>
            </w:pPr>
            <w:r>
              <w:rPr>
                <w:b/>
                <w:bCs/>
                <w:color w:val="1F3864"/>
                <w:sz w:val="24"/>
                <w:szCs w:val="24"/>
              </w:rPr>
              <w:t xml:space="preserve">→</w:t>
            </w:r>
          </w:p>
        </w:tc>
        <w:tc>
          <w:tcPr>
            <w:tcW w:type="dxa" w:w="1330"/>
            <w:shd w:fill="FFF2CC" w:val="clear"/>
            <w:tcMar>
              <w:top w:type="dxa" w:w="110"/>
              <w:left w:type="dxa" w:w="80"/>
              <w:bottom w:type="dxa" w:w="110"/>
              <w:right w:type="dxa" w:w="80"/>
            </w:tcMar>
            <w:vAlign w:val="center"/>
          </w:tcPr>
          <w:p>
            <w:pPr>
              <w:jc w:val="center"/>
            </w:pPr>
            <w:r>
              <w:rPr>
                <w:b/>
                <w:bCs/>
                <w:sz w:val="16"/>
                <w:szCs w:val="16"/>
              </w:rPr>
              <w:t xml:space="preserve">Data Model
(brand, price,
rank, skin type)</w:t>
            </w:r>
          </w:p>
        </w:tc>
        <w:tc>
          <w:tcPr>
            <w:tcW w:type="dxa" w:w="420"/>
            <w:tcBorders>
              <w:top w:val="none"/>
              <w:left w:val="none"/>
              <w:bottom w:val="none"/>
              <w:right w:val="none"/>
            </w:tcBorders>
            <w:vAlign w:val="center"/>
          </w:tcPr>
          <w:p>
            <w:pPr>
              <w:jc w:val="center"/>
            </w:pPr>
            <w:r>
              <w:rPr>
                <w:b/>
                <w:bCs/>
                <w:color w:val="1F3864"/>
                <w:sz w:val="24"/>
                <w:szCs w:val="24"/>
              </w:rPr>
              <w:t xml:space="preserve">→</w:t>
            </w:r>
          </w:p>
        </w:tc>
        <w:tc>
          <w:tcPr>
            <w:tcW w:type="dxa" w:w="1330"/>
            <w:shd w:fill="FFF2CC" w:val="clear"/>
            <w:tcMar>
              <w:top w:type="dxa" w:w="110"/>
              <w:left w:type="dxa" w:w="80"/>
              <w:bottom w:type="dxa" w:w="110"/>
              <w:right w:type="dxa" w:w="80"/>
            </w:tcMar>
            <w:vAlign w:val="center"/>
          </w:tcPr>
          <w:p>
            <w:pPr>
              <w:jc w:val="center"/>
            </w:pPr>
            <w:r>
              <w:rPr>
                <w:b/>
                <w:bCs/>
                <w:sz w:val="16"/>
                <w:szCs w:val="16"/>
              </w:rPr>
              <w:t xml:space="preserve">Analytics &amp;
Visualization
(Tableau Desktop)</w:t>
            </w:r>
          </w:p>
        </w:tc>
        <w:tc>
          <w:tcPr>
            <w:tcW w:type="dxa" w:w="420"/>
            <w:tcBorders>
              <w:top w:val="none"/>
              <w:left w:val="none"/>
              <w:bottom w:val="none"/>
              <w:right w:val="none"/>
            </w:tcBorders>
            <w:vAlign w:val="center"/>
          </w:tcPr>
          <w:p>
            <w:pPr>
              <w:jc w:val="center"/>
            </w:pPr>
            <w:r>
              <w:rPr>
                <w:b/>
                <w:bCs/>
                <w:color w:val="1F3864"/>
                <w:sz w:val="24"/>
                <w:szCs w:val="24"/>
              </w:rPr>
              <w:t xml:space="preserve">→</w:t>
            </w:r>
          </w:p>
        </w:tc>
        <w:tc>
          <w:tcPr>
            <w:tcW w:type="dxa" w:w="1330"/>
            <w:shd w:fill="E2EFDA" w:val="clear"/>
            <w:tcMar>
              <w:top w:type="dxa" w:w="110"/>
              <w:left w:type="dxa" w:w="80"/>
              <w:bottom w:type="dxa" w:w="110"/>
              <w:right w:type="dxa" w:w="80"/>
            </w:tcMar>
            <w:vAlign w:val="center"/>
          </w:tcPr>
          <w:p>
            <w:pPr>
              <w:jc w:val="center"/>
            </w:pPr>
            <w:r>
              <w:rPr>
                <w:b/>
                <w:bCs/>
                <w:sz w:val="16"/>
                <w:szCs w:val="16"/>
              </w:rPr>
              <w:t xml:space="preserve">Publish
(Tableau Public /
Server / Cloud)</w:t>
            </w:r>
          </w:p>
        </w:tc>
        <w:tc>
          <w:tcPr>
            <w:tcW w:type="dxa" w:w="420"/>
            <w:tcBorders>
              <w:top w:val="none"/>
              <w:left w:val="none"/>
              <w:bottom w:val="none"/>
              <w:right w:val="none"/>
            </w:tcBorders>
            <w:vAlign w:val="center"/>
          </w:tcPr>
          <w:p>
            <w:pPr>
              <w:jc w:val="center"/>
            </w:pPr>
            <w:r>
              <w:rPr>
                <w:b/>
                <w:bCs/>
                <w:color w:val="1F3864"/>
                <w:sz w:val="24"/>
                <w:szCs w:val="24"/>
              </w:rPr>
              <w:t xml:space="preserve">→</w:t>
            </w:r>
          </w:p>
        </w:tc>
        <w:tc>
          <w:tcPr>
            <w:tcW w:type="dxa" w:w="1330"/>
            <w:shd w:fill="DDEBF7" w:val="clear"/>
            <w:tcMar>
              <w:top w:type="dxa" w:w="110"/>
              <w:left w:type="dxa" w:w="80"/>
              <w:bottom w:type="dxa" w:w="110"/>
              <w:right w:type="dxa" w:w="80"/>
            </w:tcMar>
            <w:vAlign w:val="center"/>
          </w:tcPr>
          <w:p>
            <w:pPr>
              <w:jc w:val="center"/>
            </w:pPr>
            <w:r>
              <w:rPr>
                <w:b/>
                <w:bCs/>
                <w:sz w:val="16"/>
                <w:szCs w:val="16"/>
              </w:rPr>
              <w:t xml:space="preserve">Consumers
(Analysts, Brand
Managers, Leadership)</w:t>
            </w:r>
          </w:p>
        </w:tc>
      </w:tr>
    </w:tbl>
    <w:p>
      <w:pPr>
        <w:spacing w:after="120"/>
      </w:pPr>
    </w:p>
    <w:p>
      <w:pPr>
        <w:spacing w:after="200" w:before="120"/>
        <w:jc w:val="center"/>
      </w:pPr>
      <w:r>
        <w:rPr>
          <w:i/>
          <w:iCs/>
          <w:sz w:val="18"/>
          <w:szCs w:val="18"/>
        </w:rPr>
        <w:t xml:space="preserve">Figure 1: Architecture and data flow of the Cosmetic Insights dashboard</w:t>
      </w:r>
    </w:p>
    <w:p>
      <w:pPr>
        <w:spacing w:after="160"/>
      </w:pPr>
      <w:r>
        <w:rPr>
          <w:i w:val="false"/>
          <w:iCs w:val="false"/>
        </w:rPr>
        <w:t xml:space="preserve">Raw brand, price, rank, and skin-type data is cleaned and structured, modeled into a single connected dataset, then built into interactive views in Tableau Desktop. The finished dashboard is published to Tableau Public, Server, or Cloud, where Brand Managers, Analysts, and Leadership access it through role-based views.</w:t>
      </w:r>
    </w:p>
    <w:p>
      <w:pPr>
        <w:spacing w:after="160"/>
      </w:pPr>
    </w:p>
    <w:p>
      <w:pPr>
        <w:spacing w:after="200"/>
      </w:pPr>
      <w:r>
        <w:rPr>
          <w:b/>
          <w:bCs/>
        </w:rPr>
        <w:t xml:space="preserve">Reference: </w:t>
      </w:r>
      <w:hyperlink w:history="1" r:id="rId0bi2g2tnvwb_zgj-4qsi0">
        <w:r>
          <w:rPr>
            <w:rStyle w:val="Hyperlink"/>
          </w:rPr>
          <w:t xml:space="preserve">https://www.tableau.com/solutions/architecture</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bi2g2tnvwb_zgj-4qsi0" Type="http://schemas.openxmlformats.org/officeDocument/2006/relationships/hyperlink" Target="https://www.tableau.com/solutions/architecture"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2026-07-22T08:57:19.109Z</dcterms:created>
  <dcterms:modified xsi:type="dcterms:W3CDTF">2026-07-22T08:57:19.109Z</dcterms:modified>
</cp:coreProperties>
</file>

<file path=docProps/custom.xml><?xml version="1.0" encoding="utf-8"?>
<Properties xmlns="http://schemas.openxmlformats.org/officeDocument/2006/custom-properties" xmlns:vt="http://schemas.openxmlformats.org/officeDocument/2006/docPropsVTypes"/>
</file>