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Documentation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Documentation Format — Cosmetic Insights (Tableau BI Dashboard)</w:t>
      </w:r>
    </w:p>
    <w:p>
      <w:pPr>
        <w:spacing w:after="160"/>
      </w:pPr>
      <w:r>
        <w:rPr>
          <w:i w:val="false"/>
          <w:iCs w:val="false"/>
        </w:rPr>
        <w:t xml:space="preserve">This project is a Tableau-based Business Intelligence dashboard, not a full-stack web application. The standard documentation sections below have been adapted from the program's Project Documentation format to fit a BI/analytics deliverable.</w:t>
      </w:r>
    </w:p>
    <w:p>
      <w:pPr>
        <w:spacing w:after="160"/>
      </w:pP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1. Introduction</w:t>
      </w:r>
    </w:p>
    <w:p>
      <w:pPr>
        <w:spacing w:after="160"/>
      </w:pPr>
      <w:r>
        <w:rPr>
          <w:i w:val="false"/>
          <w:iCs w:val="false"/>
        </w:rPr>
        <w:t xml:space="preserve">Project Title: Cosmetic Insights: Navigating Cosmetics Trends and Consumer Insights with Tableau</w:t>
      </w:r>
    </w:p>
    <w:p>
      <w:pPr>
        <w:spacing w:after="80" w:before="160"/>
      </w:pPr>
      <w:r>
        <w:rPr>
          <w:b/>
          <w:bCs/>
          <w:i/>
          <w:iCs/>
        </w:rPr>
        <w:t xml:space="preserve">Team Members and Roles: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Maheswar Reddy Kathithatagari — Team Lead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Vijay Kumar Gogula — Data Upload &amp; Preprocessing, Skin-Type Segmentation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Yagna Mekala — Data Preprocessing, Skin-Type Coverage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Joshna Vutupalli — Brand &amp; Pricing Analysis, Dashboard Interactivity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Guggulla Sree Pranavi — User Access &amp; Roles, Reporting/Export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 Project Overview</w:t>
      </w:r>
    </w:p>
    <w:p>
      <w:pPr>
        <w:spacing w:after="80" w:before="160"/>
      </w:pPr>
      <w:r>
        <w:rPr>
          <w:b/>
          <w:bCs/>
          <w:i/>
          <w:iCs/>
        </w:rPr>
        <w:t xml:space="preserve">Purpose:</w:t>
      </w:r>
    </w:p>
    <w:p>
      <w:pPr>
        <w:spacing w:after="160"/>
      </w:pPr>
      <w:r>
        <w:rPr>
          <w:i w:val="false"/>
          <w:iCs w:val="false"/>
        </w:rPr>
        <w:t xml:space="preserve">To give cosmetics brand managers, analysts, and leadership a single, connected view of brand, price, rank, and skin-type data so that pricing, marketing, and product decisions can be made quickly and with evidence, instead of by manually reconciling scattered spreadsheets.</w:t>
      </w:r>
    </w:p>
    <w:p>
      <w:pPr>
        <w:spacing w:after="80" w:before="160"/>
      </w:pPr>
      <w:r>
        <w:rPr>
          <w:b/>
          <w:bCs/>
          <w:i/>
          <w:iCs/>
        </w:rPr>
        <w:t xml:space="preserve">Features: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and category performance comparison by price and rank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Skin-type coverage view (Dry, Oily, Combination, Normal, Sensitive) across brands and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filters and drill-down from category summaries to individual 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Role-based views for Analysts vs.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Exportable summary reports for review meetings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3. Architecture</w:t>
      </w:r>
    </w:p>
    <w:p>
      <w:pPr>
        <w:spacing w:after="80" w:before="160"/>
      </w:pPr>
      <w:r>
        <w:rPr>
          <w:b/>
          <w:bCs/>
          <w:i/>
          <w:iCs/>
        </w:rPr>
        <w:t xml:space="preserve">Data Layer (in place of “Database”):</w:t>
      </w:r>
    </w:p>
    <w:p>
      <w:pPr>
        <w:spacing w:after="160"/>
      </w:pPr>
      <w:r>
        <w:rPr>
          <w:i w:val="false"/>
          <w:iCs w:val="false"/>
        </w:rPr>
        <w:t xml:space="preserve">The cosmetics dataset (brand, category, price, rank, skin type) is stored as a cleaned CSV/Excel extract, with an optional MySQL store for larger volumes.</w:t>
      </w:r>
    </w:p>
    <w:p>
      <w:pPr>
        <w:spacing w:after="80" w:before="160"/>
      </w:pPr>
      <w:r>
        <w:rPr>
          <w:b/>
          <w:bCs/>
          <w:i/>
          <w:iCs/>
        </w:rPr>
        <w:t xml:space="preserve">Processing Layer (in place of “Backend”):</w:t>
      </w:r>
    </w:p>
    <w:p>
      <w:pPr>
        <w:spacing w:after="160"/>
      </w:pPr>
      <w:r>
        <w:rPr>
          <w:i w:val="false"/>
          <w:iCs w:val="false"/>
        </w:rPr>
        <w:t xml:space="preserve">Data cleaning and structuring is handled in Tableau Prep (or Python/Pandas for heavier preprocessing) before being loaded into Tableau's data model, with calculated fields and LOD expressions applied for analysis.</w:t>
      </w:r>
    </w:p>
    <w:p>
      <w:pPr>
        <w:spacing w:after="80" w:before="160"/>
      </w:pPr>
      <w:r>
        <w:rPr>
          <w:b/>
          <w:bCs/>
          <w:i/>
          <w:iCs/>
        </w:rPr>
        <w:t xml:space="preserve">Presentation Layer (in place of “Frontend”):</w:t>
      </w:r>
    </w:p>
    <w:p>
      <w:pPr>
        <w:spacing w:after="160"/>
      </w:pPr>
      <w:r>
        <w:rPr>
          <w:i w:val="false"/>
          <w:iCs w:val="false"/>
        </w:rPr>
        <w:t xml:space="preserve">The interactive dashboard is built in Tableau Desktop and published to Tableau Public/Server/Cloud, where users view and filter it through a web browser.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4. Setup Instructions</w:t>
      </w:r>
    </w:p>
    <w:p>
      <w:pPr>
        <w:spacing w:after="80" w:before="160"/>
      </w:pPr>
      <w:r>
        <w:rPr>
          <w:b/>
          <w:bCs/>
          <w:i/>
          <w:iCs/>
        </w:rPr>
        <w:t xml:space="preserve">Prerequisites: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 Desktop or Tableau Public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cosmetics dataset file (CSV/Excel)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 Server/Cloud account for publishing (optional for local viewing)</w:t>
      </w:r>
    </w:p>
    <w:p>
      <w:pPr>
        <w:spacing w:after="80" w:before="160"/>
      </w:pPr>
      <w:r>
        <w:rPr>
          <w:b/>
          <w:bCs/>
          <w:i/>
          <w:iCs/>
        </w:rPr>
        <w:t xml:space="preserve">Installation: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Tableau Desktop/Public and open the project workbook (.twbx)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the data source connection points to the cosmetics dataset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the data source extract to load the latest data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5. Folder Structure</w:t>
      </w:r>
    </w:p>
    <w:p>
      <w:pPr>
        <w:spacing w:after="80" w:before="160"/>
      </w:pPr>
      <w:r>
        <w:rPr>
          <w:b/>
          <w:bCs/>
          <w:i/>
          <w:iCs/>
        </w:rPr>
        <w:t xml:space="preserve">Workbook (in place of “Client”):</w:t>
      </w:r>
    </w:p>
    <w:p>
      <w:pPr>
        <w:spacing w:after="160"/>
      </w:pPr>
      <w:r>
        <w:rPr>
          <w:i w:val="false"/>
          <w:iCs w:val="false"/>
        </w:rPr>
        <w:t xml:space="preserve">Contains the Tableau worksheets, dashboards, and the story that make up the user-facing views.</w:t>
      </w:r>
    </w:p>
    <w:p>
      <w:pPr>
        <w:spacing w:after="80" w:before="160"/>
      </w:pPr>
      <w:r>
        <w:rPr>
          <w:b/>
          <w:bCs/>
          <w:i/>
          <w:iCs/>
        </w:rPr>
        <w:t xml:space="preserve">Data Sources (in place of “Server”):</w:t>
      </w:r>
    </w:p>
    <w:p>
      <w:pPr>
        <w:spacing w:after="160"/>
      </w:pPr>
      <w:r>
        <w:rPr>
          <w:i w:val="false"/>
          <w:iCs w:val="false"/>
        </w:rPr>
        <w:t xml:space="preserve">Contains the raw and cleaned dataset files, plus any Tableau Prep flows used to produce the cleaned extract.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6. Running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.twbx workbook file in Tableau Desktop, 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published dashboard link in a browser via Tableau Public/Server/Cloud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7. API Documentation</w:t>
      </w:r>
    </w:p>
    <w:p>
      <w:pPr>
        <w:spacing w:after="160"/>
      </w:pPr>
      <w:r>
        <w:rPr>
          <w:i w:val="false"/>
          <w:iCs w:val="false"/>
        </w:rPr>
        <w:t xml:space="preserve">Not applicable — Cosmetic Insights is a self-contained Tableau dashboard with no custom backend API. All data access happens through Tableau's native data connections.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8. Authentication</w:t>
      </w:r>
    </w:p>
    <w:p>
      <w:pPr>
        <w:spacing w:after="160"/>
      </w:pPr>
      <w:r>
        <w:rPr>
          <w:i w:val="false"/>
          <w:iCs w:val="false"/>
        </w:rPr>
        <w:t xml:space="preserve">Access is managed through Tableau Server/Cloud sign-in. Role-based permissions restrict Analysts to the detailed working view and Leadership to a read-only summary view.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9. User Interface</w:t>
      </w:r>
    </w:p>
    <w:p>
      <w:pPr>
        <w:spacing w:after="160"/>
      </w:pPr>
      <w:r>
        <w:rPr>
          <w:i w:val="false"/>
          <w:iCs w:val="false"/>
        </w:rPr>
        <w:t xml:space="preserve">[Insert screenshots of the Brand &amp; Pricing view, Skin-Type Coverage view, and the summary Story here.]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10. Testing</w:t>
      </w:r>
    </w:p>
    <w:p>
      <w:pPr>
        <w:spacing w:after="160"/>
      </w:pPr>
      <w:r>
        <w:rPr>
          <w:i w:val="false"/>
          <w:iCs w:val="false"/>
        </w:rPr>
        <w:t xml:space="preserve">Covered in the Project Development Phase: performance testing against the Tableau workbook (data rendering, preprocessing, filters, calculated fields, dashboard and story design) and User Acceptance Testing with 6 test cases, all passing.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11. Screenshots or Demo</w:t>
      </w:r>
    </w:p>
    <w:p>
      <w:pPr>
        <w:spacing w:after="160"/>
      </w:pPr>
      <w:r>
        <w:rPr>
          <w:i w:val="false"/>
          <w:iCs w:val="false"/>
        </w:rPr>
        <w:t xml:space="preserve">[Insert dashboard screenshots or a link to the published Tableau Public/Cloud demo here.]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12. Known Issues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Skin-type heatmap legend overlapped the chart on smaller screens — resolved by resizing the legend container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filter reset previously cleared the skin-type filter as well — resolved by scoping the reset action</w:t>
      </w:r>
    </w:p>
    <w:p>
      <w:pP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Predictive trend indicators for emerging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alerts for sudden shifts in consumer preference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Competitor benchmarking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Sentiment analysis of customer reviews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Mobile-friendly version of the dashboard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2026-07-23T09:37:10.394Z</dcterms:created>
  <dcterms:modified xsi:type="dcterms:W3CDTF">2026-07-23T09:37:10.407Z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