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Performance Test — Tableau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80"/>
            <w:vAlign w:val="center"/>
          </w:tcPr>
          <w:p>
            <w:r>
              <w:t xml:space="preserve">08 August 2026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80"/>
            <w:vAlign w:val="center"/>
          </w:tcPr>
          <w:p>
            <w:r>
              <w:t xml:space="preserve">Cosmetic Insights: Navigating Cosmetics Trends and Consumer Insights with Tableau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Model Performance Testing</w:t>
      </w:r>
    </w:p>
    <w:p>
      <w:pPr>
        <w:spacing w:after="160"/>
      </w:pPr>
      <w:r>
        <w:rPr>
          <w:i w:val="false"/>
          <w:iCs w:val="false"/>
        </w:rPr>
        <w:t xml:space="preserve">The project team has filled the following information in the performance testing template.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64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S.No.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48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Screenshot / Values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1.</w:t>
            </w:r>
          </w:p>
        </w:tc>
        <w:tc>
          <w:tcPr>
            <w:tcW w:type="dxa" w:w="29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Data Rendered</w:t>
            </w:r>
          </w:p>
        </w:tc>
        <w:tc>
          <w:tcPr>
            <w:tcW w:type="dxa" w:w="64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Cosmetics dataset (brand, category, price, rank, and skin-type fields) connected via a cleaned CSV extract and rendered successfully in Tableau Desktop, with all fields recognized and correctly typed.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2.</w:t>
            </w:r>
          </w:p>
        </w:tc>
        <w:tc>
          <w:tcPr>
            <w:tcW w:type="dxa" w:w="29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Data Preprocessing</w:t>
            </w:r>
          </w:p>
        </w:tc>
        <w:tc>
          <w:tcPr>
            <w:tcW w:type="dxa" w:w="64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Removed duplicate and blank rows, standardized brand names and skin-type labels, converted Price to a numeric field, and grouped Price into Budget / Mid / Premium bands.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3.</w:t>
            </w:r>
          </w:p>
        </w:tc>
        <w:tc>
          <w:tcPr>
            <w:tcW w:type="dxa" w:w="29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Utilization of Filters</w:t>
            </w:r>
          </w:p>
        </w:tc>
        <w:tc>
          <w:tcPr>
            <w:tcW w:type="dxa" w:w="64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Global filters applied for Brand, Category, Price Range, and Skin Type; Quick Filters let users drill into a single brand or skin-type segment without editing the underlying view.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4.</w:t>
            </w:r>
          </w:p>
        </w:tc>
        <w:tc>
          <w:tcPr>
            <w:tcW w:type="dxa" w:w="29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Calculation fields Used</w:t>
            </w:r>
          </w:p>
        </w:tc>
        <w:tc>
          <w:tcPr>
            <w:tcW w:type="dxa" w:w="64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Calculated fields created for Price Band, Rank Tier (Top 10 / Mid / Bottom), and a Price-to-Rank Ratio that flags products priced high relative to their ranking.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5.</w:t>
            </w:r>
          </w:p>
        </w:tc>
        <w:tc>
          <w:tcPr>
            <w:tcW w:type="dxa" w:w="29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Dashboard design</w:t>
            </w:r>
          </w:p>
        </w:tc>
        <w:tc>
          <w:tcPr>
            <w:tcW w:type="dxa" w:w="64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No of Visualizations / Graphs — 6 (Brand Performance Bar Chart, Price Distribution Histogram, Skin-Type Coverage Heatmap, Price vs. Rank Scatter Plot, Category Treemap, KPI Summary Cards).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6.</w:t>
            </w:r>
          </w:p>
        </w:tc>
        <w:tc>
          <w:tcPr>
            <w:tcW w:type="dxa" w:w="29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Story Design</w:t>
            </w:r>
          </w:p>
        </w:tc>
        <w:tc>
          <w:tcPr>
            <w:tcW w:type="dxa" w:w="64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No of Visualizations / Graphs — 3-part story: (1) Market Overview, (2) Brand &amp; Pricing Deep-Dive, (3) Skin-Type Coverage &amp; Opportunities, guiding leadership through the dashboard's key insights.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2026-07-23T09:30:10.540Z</dcterms:created>
  <dcterms:modified xsi:type="dcterms:W3CDTF">2026-07-23T09:30:10.553Z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