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Proposed Solution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22 July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Proposed Solution Template</w:t>
      </w:r>
    </w:p>
    <w:p>
      <w:pPr>
        <w:spacing w:after="160"/>
      </w:pPr>
      <w:r>
        <w:rPr>
          <w:i w:val="false"/>
          <w:iCs w:val="false"/>
        </w:rPr>
        <w:t xml:space="preserve">The project team has filled in the following information in the proposed solution template.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7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S.No.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78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1.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Problem Statement (Problem to be solved)</w:t>
            </w:r>
          </w:p>
        </w:tc>
        <w:tc>
          <w:tcPr>
            <w:tcW w:type="dxa" w:w="67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Brand &amp; Category Managers at cosmetics companies lack a single, connected view of brand, price, rank, and skin-type data, making pricing and marketing decisions slow, manual, and inconsistent.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2.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Idea / Solution description</w:t>
            </w:r>
          </w:p>
        </w:tc>
        <w:tc>
          <w:tcPr>
            <w:tcW w:type="dxa" w:w="67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“Cosmetic Insights” — an interactive Tableau dashboard that ingests and cleans the cosmetics dataset, then visualizes brand performance, pricing trends, and skin-type coverage through filterable, drill-down views for analysts and leadership.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3.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Novelty / Uniqueness</w:t>
            </w:r>
          </w:p>
        </w:tc>
        <w:tc>
          <w:tcPr>
            <w:tcW w:type="dxa" w:w="67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Brings brand, price, rank, and skin-type suitability together in one connected analytical view, instead of the separate spreadsheets most teams rely on; purpose-built filters for skin-type segments rather than generic demographic filters.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4.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Social Impact / Customer Satisfaction</w:t>
            </w:r>
          </w:p>
        </w:tc>
        <w:tc>
          <w:tcPr>
            <w:tcW w:type="dxa" w:w="67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Helps cosmetics brands better match products to skin-type needs, which can improve product fit for end shoppers; reduces guesswork in decisions that affect pricing and availability; saves analysts and managers hours of manual reporting each week.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5.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Business Model (Revenue Model)</w:t>
            </w:r>
          </w:p>
        </w:tc>
        <w:tc>
          <w:tcPr>
            <w:tcW w:type="dxa" w:w="67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Usable as an internal BI tool for cosmetics retailers/manufacturers, or offered as a Tableau-based analytics template/subscription to smaller cosmetics brands that lack an in-house BI team.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6.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Scalability of the Solution</w:t>
            </w:r>
          </w:p>
        </w:tc>
        <w:tc>
          <w:tcPr>
            <w:tcW w:type="dxa" w:w="678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Built on Tableau's live/extract connections, the dashboard can scale to larger datasets — more brands, categories, or regions — or move to a live database connection as data volume grows, without redesigning the core dashboard.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2026-07-22T08:57:38.370Z</dcterms:created>
  <dcterms:modified xsi:type="dcterms:W3CDTF">2026-07-22T08:57:38.370Z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