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0"/>
          <w:szCs w:val="30"/>
        </w:rPr>
        <w:t xml:space="preserve">Project Design Phase-II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Solution Requirements (Functional &amp; Non-functional)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shd w:fill="DCE6F1" w:val="clear"/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880"/>
            <w:vAlign w:val="center"/>
          </w:tcPr>
          <w:p>
            <w:r>
              <w:t xml:space="preserve">22 July 2026</w:t>
            </w:r>
          </w:p>
        </w:tc>
      </w:tr>
      <w:tr>
        <w:tc>
          <w:tcPr>
            <w:tcW w:type="dxa" w:w="3200"/>
            <w:shd w:fill="DCE6F1" w:val="clear"/>
            <w:vAlign w:val="cente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880"/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200"/>
            <w:shd w:fill="DCE6F1" w:val="clear"/>
            <w:vAlign w:val="cente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880"/>
            <w:vAlign w:val="center"/>
          </w:tcPr>
          <w:p>
            <w:r>
              <w:t xml:space="preserve">Cosmetic Insights: Navigating Cosmetics Trends and Consumer Insights with Tableau</w:t>
            </w:r>
          </w:p>
        </w:tc>
      </w:tr>
      <w:tr>
        <w:tc>
          <w:tcPr>
            <w:tcW w:type="dxa" w:w="3200"/>
            <w:shd w:fill="DCE6F1" w:val="clear"/>
            <w:vAlign w:val="cente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880"/>
            <w:vAlign w:val="center"/>
          </w:tcPr>
          <w:p>
            <w:r>
              <w:t xml:space="preserve">4 Marks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Functional Requirements</w:t>
      </w:r>
    </w:p>
    <w:p>
      <w:pPr>
        <w:spacing w:after="160"/>
      </w:pPr>
      <w:r>
        <w:rPr>
          <w:i w:val="false"/>
          <w:iCs w:val="false"/>
        </w:rPr>
        <w:t xml:space="preserve">Following are the functional requirements of the proposed solution.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626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 No.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Functional Requirement (Epic)</w:t>
            </w:r>
          </w:p>
        </w:tc>
        <w:tc>
          <w:tcPr>
            <w:tcW w:type="dxa" w:w="62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Sub Requirement (Story / Sub-Task)</w:t>
            </w:r>
          </w:p>
        </w:tc>
      </w:tr>
      <w:tr>
        <w:tc>
          <w:tcPr>
            <w:tcW w:type="dxa" w:w="9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FR-1</w:t>
            </w:r>
          </w:p>
        </w:tc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 Upload &amp; Preprocessing</w:t>
            </w:r>
          </w:p>
        </w:tc>
        <w:tc>
          <w:tcPr>
            <w:tcW w:type="dxa" w:w="626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9"/>
                <w:szCs w:val="19"/>
              </w:rPr>
              <w:t xml:space="preserve">Upload cosmetics dataset (CSV/Excel)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9"/>
                <w:szCs w:val="19"/>
              </w:rPr>
              <w:t xml:space="preserve">Clean &amp; standardize brand, price, rank, skin-type fields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9"/>
                <w:szCs w:val="19"/>
              </w:rPr>
              <w:t xml:space="preserve">Handle missing or inconsistent values</w:t>
            </w:r>
          </w:p>
        </w:tc>
      </w:tr>
      <w:tr>
        <w:tc>
          <w:tcPr>
            <w:tcW w:type="dxa" w:w="9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FR-2</w:t>
            </w:r>
          </w:p>
        </w:tc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Brand &amp; Pricing Analysis</w:t>
            </w:r>
          </w:p>
        </w:tc>
        <w:tc>
          <w:tcPr>
            <w:tcW w:type="dxa" w:w="626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9"/>
                <w:szCs w:val="19"/>
              </w:rPr>
              <w:t xml:space="preserve">Compare brand performance by price and rank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9"/>
                <w:szCs w:val="19"/>
              </w:rPr>
              <w:t xml:space="preserve">Visualize price distribution by category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9"/>
                <w:szCs w:val="19"/>
              </w:rPr>
              <w:t xml:space="preserve">Highlight top and bottom performing brands</w:t>
            </w:r>
          </w:p>
        </w:tc>
      </w:tr>
      <w:tr>
        <w:tc>
          <w:tcPr>
            <w:tcW w:type="dxa" w:w="9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FR-3</w:t>
            </w:r>
          </w:p>
        </w:tc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Skin-Type Segmentation</w:t>
            </w:r>
          </w:p>
        </w:tc>
        <w:tc>
          <w:tcPr>
            <w:tcW w:type="dxa" w:w="626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9"/>
                <w:szCs w:val="19"/>
              </w:rPr>
              <w:t xml:space="preserve">Filter products by skin type (Dry, Oily, Combination, Normal, Sensitive)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9"/>
                <w:szCs w:val="19"/>
              </w:rPr>
              <w:t xml:space="preserve">Show skin-type coverage across brands and categories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9"/>
                <w:szCs w:val="19"/>
              </w:rPr>
              <w:t xml:space="preserve">Cross-analyze skin type with price range</w:t>
            </w:r>
          </w:p>
        </w:tc>
      </w:tr>
      <w:tr>
        <w:tc>
          <w:tcPr>
            <w:tcW w:type="dxa" w:w="9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FR-4</w:t>
            </w:r>
          </w:p>
        </w:tc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Interactive Dashboard &amp; Filters</w:t>
            </w:r>
          </w:p>
        </w:tc>
        <w:tc>
          <w:tcPr>
            <w:tcW w:type="dxa" w:w="626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9"/>
                <w:szCs w:val="19"/>
              </w:rPr>
              <w:t xml:space="preserve">Global filters for brand, category, price range, and skin type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9"/>
                <w:szCs w:val="19"/>
              </w:rPr>
              <w:t xml:space="preserve">Drill-down from category summary to individual products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9"/>
                <w:szCs w:val="19"/>
              </w:rPr>
              <w:t xml:space="preserve">Export dashboard views/reports as PDF or image</w:t>
            </w:r>
          </w:p>
        </w:tc>
      </w:tr>
      <w:tr>
        <w:tc>
          <w:tcPr>
            <w:tcW w:type="dxa" w:w="9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FR-5</w:t>
            </w:r>
          </w:p>
        </w:tc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 Access</w:t>
            </w:r>
          </w:p>
        </w:tc>
        <w:tc>
          <w:tcPr>
            <w:tcW w:type="dxa" w:w="626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9"/>
                <w:szCs w:val="19"/>
              </w:rPr>
              <w:t xml:space="preserve">Role-based dashboard views (Analyst view vs. Leadership summary view)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9"/>
                <w:szCs w:val="19"/>
              </w:rPr>
              <w:t xml:space="preserve">Secure login via Tableau Server/Cloud</w:t>
            </w:r>
          </w:p>
        </w:tc>
      </w:tr>
      <w:tr>
        <w:tc>
          <w:tcPr>
            <w:tcW w:type="dxa" w:w="9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FR-6</w:t>
            </w:r>
          </w:p>
        </w:tc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Trend &amp; Insight Reporting</w:t>
            </w:r>
          </w:p>
        </w:tc>
        <w:tc>
          <w:tcPr>
            <w:tcW w:type="dxa" w:w="626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9"/>
                <w:szCs w:val="19"/>
              </w:rPr>
              <w:t xml:space="preserve">Trend charts across categories and price bands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9"/>
                <w:szCs w:val="19"/>
              </w:rPr>
              <w:t xml:space="preserve">Automated highlight of significant shifts or outliers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Non-functional Requirements</w:t>
      </w:r>
    </w:p>
    <w:p>
      <w:pPr>
        <w:spacing w:after="160"/>
      </w:pPr>
      <w:r>
        <w:rPr>
          <w:i w:val="false"/>
          <w:iCs w:val="false"/>
        </w:rPr>
        <w:t xml:space="preserve">Following are the non-functional requirements of the proposed solution.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626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 No.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Non-Functional Requirement</w:t>
            </w:r>
          </w:p>
        </w:tc>
        <w:tc>
          <w:tcPr>
            <w:tcW w:type="dxa" w:w="62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NFR-1</w:t>
            </w:r>
          </w:p>
        </w:tc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Usability</w:t>
            </w:r>
          </w:p>
        </w:tc>
        <w:tc>
          <w:tcPr>
            <w:tcW w:type="dxa" w:w="626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Clean, intuitive dashboard layout with consistent colors and labeling so both analysts and leadership can read insights without training.</w:t>
            </w:r>
          </w:p>
        </w:tc>
      </w:tr>
      <w:tr>
        <w:tc>
          <w:tcPr>
            <w:tcW w:type="dxa" w:w="9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NFR-2</w:t>
            </w:r>
          </w:p>
        </w:tc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Security</w:t>
            </w:r>
          </w:p>
        </w:tc>
        <w:tc>
          <w:tcPr>
            <w:tcW w:type="dxa" w:w="626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Role-based access control and secure authentication on Tableau Server/Cloud; sensitive pricing data restricted to authorized users.</w:t>
            </w:r>
          </w:p>
        </w:tc>
      </w:tr>
      <w:tr>
        <w:tc>
          <w:tcPr>
            <w:tcW w:type="dxa" w:w="9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NFR-3</w:t>
            </w:r>
          </w:p>
        </w:tc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Reliability</w:t>
            </w:r>
          </w:p>
        </w:tc>
        <w:tc>
          <w:tcPr>
            <w:tcW w:type="dxa" w:w="626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Dashboard consistently reflects the latest uploaded data with no data loss or corruption during refresh.</w:t>
            </w:r>
          </w:p>
        </w:tc>
      </w:tr>
      <w:tr>
        <w:tc>
          <w:tcPr>
            <w:tcW w:type="dxa" w:w="9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NFR-4</w:t>
            </w:r>
          </w:p>
        </w:tc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626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Dashboard views and filters respond within 2-3 seconds even when working with the full cosmetics dataset.</w:t>
            </w:r>
          </w:p>
        </w:tc>
      </w:tr>
      <w:tr>
        <w:tc>
          <w:tcPr>
            <w:tcW w:type="dxa" w:w="9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NFR-5</w:t>
            </w:r>
          </w:p>
        </w:tc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626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Dashboard accessible via Tableau Public/Server/Cloud with minimal downtime during scheduled data refreshes.</w:t>
            </w:r>
          </w:p>
        </w:tc>
      </w:tr>
      <w:tr>
        <w:tc>
          <w:tcPr>
            <w:tcW w:type="dxa" w:w="9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NFR-6</w:t>
            </w:r>
          </w:p>
        </w:tc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626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Design supports a growing dataset (more brands, categories, or regions) without needing a dashboard redesign.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2026-07-22T08:45:15.746Z</dcterms:created>
  <dcterms:modified xsi:type="dcterms:W3CDTF">2026-07-22T08:45:15.757Z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