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Extended Producer Responsibility (EPR) Platform</w:t>
      </w:r>
    </w:p>
    <w:p>
      <w:pPr>
        <w:pStyle w:val="Heading1"/>
      </w:pPr>
      <w:r>
        <w:t>Full Functional Specification &amp; User Stories (Beta Build)</w:t>
      </w:r>
    </w:p>
    <w:p>
      <w:r>
        <w:t>This document is the authoritative, build-ready functional specification for a world-class EPR software platform. It defines WHAT must be built, HOW users interact with it, and HOW visual (Sankey) and traditional (form/table) workflows coexist. It is intended to be handed directly to a development team to build a production-quality beta.</w:t>
      </w:r>
    </w:p>
    <w:p>
      <w:pPr>
        <w:pStyle w:val="Heading1"/>
      </w:pPr>
      <w:r>
        <w:t>1. Core Design Principles</w:t>
      </w:r>
    </w:p>
    <w:p>
      <w:pPr>
        <w:pStyle w:val="ListBullet"/>
      </w:pPr>
      <w:r>
        <w:t>Dual-modality UX: every modelling step is accessible via a visual Sankey-style builder and via traditional form/table interfaces.</w:t>
      </w:r>
    </w:p>
    <w:p>
      <w:pPr>
        <w:pStyle w:val="ListBullet"/>
      </w:pPr>
      <w:r>
        <w:t>Immediate explainability: every number shown in the UI must be traceable back to raw inputs and formulas.</w:t>
      </w:r>
    </w:p>
    <w:p>
      <w:pPr>
        <w:pStyle w:val="ListBullet"/>
      </w:pPr>
      <w:r>
        <w:t>Jurisdiction-first logic: regulations, fees, and reporting rules are jurisdiction-driven and versioned.</w:t>
      </w:r>
    </w:p>
    <w:p>
      <w:pPr>
        <w:pStyle w:val="ListBullet"/>
      </w:pPr>
      <w:r>
        <w:t>Progressive completeness: users can start anywhere; the system clearly flags missing data blocking analysis.</w:t>
      </w:r>
    </w:p>
    <w:p>
      <w:pPr>
        <w:pStyle w:val="ListBullet"/>
      </w:pPr>
      <w:r>
        <w:t>Single source of truth: one canonical data model drives visuals, tables, calculations, and exports.</w:t>
      </w:r>
    </w:p>
    <w:p>
      <w:pPr>
        <w:pStyle w:val="Heading1"/>
      </w:pPr>
      <w:r>
        <w:t>2. Global Navigation &amp; Layout</w:t>
      </w:r>
    </w:p>
    <w:p>
      <w:r>
        <w:t>Home screen provides access to all phases of the EPR lifecycle:</w:t>
      </w:r>
    </w:p>
    <w:p>
      <w:pPr>
        <w:pStyle w:val="ListBullet"/>
      </w:pPr>
      <w:r>
        <w:t>Packaging Raw Materials</w:t>
      </w:r>
    </w:p>
    <w:p>
      <w:pPr>
        <w:pStyle w:val="ListBullet"/>
      </w:pPr>
      <w:r>
        <w:t>Packaging Types &amp; Units</w:t>
      </w:r>
    </w:p>
    <w:p>
      <w:pPr>
        <w:pStyle w:val="ListBullet"/>
      </w:pPr>
      <w:r>
        <w:t>Products (SKUs)</w:t>
      </w:r>
    </w:p>
    <w:p>
      <w:pPr>
        <w:pStyle w:val="ListBullet"/>
      </w:pPr>
      <w:r>
        <w:t>Distribution</w:t>
      </w:r>
    </w:p>
    <w:p>
      <w:pPr>
        <w:pStyle w:val="ListBullet"/>
      </w:pPr>
      <w:r>
        <w:t>Recycling</w:t>
      </w:r>
    </w:p>
    <w:p>
      <w:pPr>
        <w:pStyle w:val="ListBullet"/>
      </w:pPr>
      <w:r>
        <w:t>Analysis</w:t>
      </w:r>
    </w:p>
    <w:p>
      <w:pPr>
        <w:pStyle w:val="ListBullet"/>
      </w:pPr>
      <w:r>
        <w:t>Settings &amp; Schemes</w:t>
      </w:r>
    </w:p>
    <w:p>
      <w:r>
        <w:t>Global controls (persistent across all screens): Scenario selector, Effective date selector, Jurisdiction filter, Toggle: Visual Builder / Form &amp; Tables / Split View.</w:t>
      </w:r>
    </w:p>
    <w:p>
      <w:pPr>
        <w:pStyle w:val="Heading1"/>
      </w:pPr>
      <w:r>
        <w:t>3. Dual Interface Model (MANDATORY)</w:t>
      </w:r>
    </w:p>
    <w:p>
      <w:pPr>
        <w:pStyle w:val="Heading2"/>
      </w:pPr>
      <w:r>
        <w:t>3.1 Visual Sankey Builder Interface</w:t>
      </w:r>
    </w:p>
    <w:p>
      <w:r>
        <w:t>The Visual Builder is a drag-and-drop, Sankey-style canvas that allows users to model, connect, and understand the full packaging → product → distribution → cost flow visually.</w:t>
      </w:r>
    </w:p>
    <w:p>
      <w:pPr>
        <w:pStyle w:val="ListBullet"/>
      </w:pPr>
      <w:r>
        <w:t>Visual Builder capabilities:</w:t>
      </w:r>
    </w:p>
    <w:p>
      <w:pPr>
        <w:pStyle w:val="ListBullet2"/>
      </w:pPr>
      <w:r>
        <w:t>Palette of entities: Raw Materials, Material Classifications, Packaging Types, Packaging Units, Products (SKUs), Geographies, Jurisdictions, Fee Schemes.</w:t>
      </w:r>
    </w:p>
    <w:p>
      <w:pPr>
        <w:pStyle w:val="ListBullet2"/>
      </w:pPr>
      <w:r>
        <w:t>Drag entities onto canvas as nodes.</w:t>
      </w:r>
    </w:p>
    <w:p>
      <w:pPr>
        <w:pStyle w:val="ListBullet2"/>
      </w:pPr>
      <w:r>
        <w:t>Connect nodes with edges to define relationships (validated against data model).</w:t>
      </w:r>
    </w:p>
    <w:p>
      <w:pPr>
        <w:pStyle w:val="ListBullet2"/>
      </w:pPr>
      <w:r>
        <w:t>Branching flows supported; Geography nodes always roll up to Jurisdiction.</w:t>
      </w:r>
    </w:p>
    <w:p>
      <w:pPr>
        <w:pStyle w:val="ListBullet2"/>
      </w:pPr>
      <w:r>
        <w:t>Metric mode selector controls link thickness: weight, EPR fee, eco-modulation fee, PRN, plastics tax, total tax, packaging cost, packaging cost + tax.</w:t>
      </w:r>
    </w:p>
    <w:p>
      <w:pPr>
        <w:pStyle w:val="ListBullet2"/>
      </w:pPr>
      <w:r>
        <w:t>Time and scenario aware: canvas updates when scenario or effective date changes.</w:t>
      </w:r>
    </w:p>
    <w:p>
      <w:pPr>
        <w:pStyle w:val="ListBullet2"/>
      </w:pPr>
      <w:r>
        <w:t>Clicking any node or link opens an 'Explain this' side panel showing underlying records and calculations.</w:t>
      </w:r>
    </w:p>
    <w:p>
      <w:pPr>
        <w:pStyle w:val="Heading2"/>
      </w:pPr>
      <w:r>
        <w:t>3.2 Traditional Form &amp; Table Interface</w:t>
      </w:r>
    </w:p>
    <w:p>
      <w:r>
        <w:t>Every data domain must also be manageable via structured forms and tables. This is essential for power users, bulk editing, uploads, and audit confidence.</w:t>
      </w:r>
    </w:p>
    <w:p>
      <w:pPr>
        <w:pStyle w:val="ListBullet"/>
      </w:pPr>
      <w:r>
        <w:t>Form/Table interface requirements:</w:t>
      </w:r>
    </w:p>
    <w:p>
      <w:pPr>
        <w:pStyle w:val="ListBullet2"/>
      </w:pPr>
      <w:r>
        <w:t>CRUD forms for every entity (materials, types, units, products, fees, etc.).</w:t>
      </w:r>
    </w:p>
    <w:p>
      <w:pPr>
        <w:pStyle w:val="ListBullet2"/>
      </w:pPr>
      <w:r>
        <w:t>Spreadsheet-style editable tables with validation and inline warnings.</w:t>
      </w:r>
    </w:p>
    <w:p>
      <w:pPr>
        <w:pStyle w:val="ListBullet2"/>
      </w:pPr>
      <w:r>
        <w:t>Bulk upload/download via XLSX/CSV for all major entities.</w:t>
      </w:r>
    </w:p>
    <w:p>
      <w:pPr>
        <w:pStyle w:val="ListBullet2"/>
      </w:pPr>
      <w:r>
        <w:t>Real-time indicators showing how form changes affect the visual builder.</w:t>
      </w:r>
    </w:p>
    <w:p>
      <w:r>
        <w:t>Users can toggle between Visual Builder, Forms/Tables, or view both side-by-side at any time. Both interfaces operate on the same underlying data.</w:t>
      </w:r>
    </w:p>
    <w:p>
      <w:pPr>
        <w:pStyle w:val="Heading1"/>
      </w:pPr>
      <w:r>
        <w:t>4. Functional Specification by Phase</w:t>
      </w:r>
    </w:p>
    <w:p>
      <w:pPr>
        <w:pStyle w:val="Heading2"/>
      </w:pPr>
      <w:r>
        <w:t>4A. Packaging Raw Materials</w:t>
      </w:r>
    </w:p>
    <w:p>
      <w:pPr>
        <w:pStyle w:val="ListBullet"/>
      </w:pPr>
      <w:r>
        <w:t>Define raw materials with hierarchical classifications (e.g. Glass → Coloured → Green).</w:t>
      </w:r>
    </w:p>
    <w:p>
      <w:pPr>
        <w:pStyle w:val="ListBullet"/>
      </w:pPr>
      <w:r>
        <w:t>Associate classifications with jurisdictions that recognise them.</w:t>
      </w:r>
    </w:p>
    <w:p>
      <w:pPr>
        <w:pStyle w:val="ListBullet"/>
      </w:pPr>
      <w:r>
        <w:t>Define EPR base fees per classification, per jurisdiction, per time period.</w:t>
      </w:r>
    </w:p>
    <w:p>
      <w:pPr>
        <w:pStyle w:val="ListBullet"/>
      </w:pPr>
      <w:r>
        <w:t>Define eco-modulation fees per geography (nested in jurisdiction).</w:t>
      </w:r>
    </w:p>
    <w:p>
      <w:pPr>
        <w:pStyle w:val="ListBullet"/>
      </w:pPr>
      <w:r>
        <w:t>Version all fees with effective dates, reference documents, reporting rules, and approval workflow.</w:t>
      </w:r>
    </w:p>
    <w:p>
      <w:r>
        <w:t>Visual Builder usage: Users can visually connect Raw Materials → Jurisdictions to immediately see where fees apply and where gaps exist.</w:t>
      </w:r>
    </w:p>
    <w:p>
      <w:pPr>
        <w:pStyle w:val="Heading2"/>
      </w:pPr>
      <w:r>
        <w:t>4B. Packaging Types &amp; Units</w:t>
      </w:r>
    </w:p>
    <w:p>
      <w:pPr>
        <w:pStyle w:val="ListBullet"/>
      </w:pPr>
      <w:r>
        <w:t>Packaging Types represent individual components and link to a material classification.</w:t>
      </w:r>
    </w:p>
    <w:p>
      <w:pPr>
        <w:pStyle w:val="ListBullet"/>
      </w:pPr>
      <w:r>
        <w:t>Packaging Units are collections of Packaging Types (primary → quaternary).</w:t>
      </w:r>
    </w:p>
    <w:p>
      <w:pPr>
        <w:pStyle w:val="ListBullet"/>
      </w:pPr>
      <w:r>
        <w:t>Packaging Types store physical attributes and packaging cost per component.</w:t>
      </w:r>
    </w:p>
    <w:p>
      <w:pPr>
        <w:pStyle w:val="ListBullet"/>
      </w:pPr>
      <w:r>
        <w:t>Packaging Units automatically calculate total weight and packaging cost.</w:t>
      </w:r>
    </w:p>
    <w:p>
      <w:r>
        <w:t>Visual Builder usage: Users assemble Packaging Units by visually grouping Packaging Types; weight and cost flows update in real time.</w:t>
      </w:r>
    </w:p>
    <w:p>
      <w:pPr>
        <w:pStyle w:val="Heading2"/>
      </w:pPr>
      <w:r>
        <w:t>4C. Products (SKUs)</w:t>
      </w:r>
    </w:p>
    <w:p>
      <w:pPr>
        <w:pStyle w:val="ListBullet"/>
      </w:pPr>
      <w:r>
        <w:t>Products represent sellable SKUs.</w:t>
      </w:r>
    </w:p>
    <w:p>
      <w:pPr>
        <w:pStyle w:val="ListBullet"/>
      </w:pPr>
      <w:r>
        <w:t>Each SKU must be associated with one or more Packaging Units.</w:t>
      </w:r>
    </w:p>
    <w:p>
      <w:pPr>
        <w:pStyle w:val="ListBullet"/>
      </w:pPr>
      <w:r>
        <w:t>Optional landed cost per SKU (manual in Phase 1; ERP in Phase 2).</w:t>
      </w:r>
    </w:p>
    <w:p>
      <w:r>
        <w:t>Visual Builder usage: Connect Packaging Units → SKUs to validate completeness.</w:t>
      </w:r>
    </w:p>
    <w:p>
      <w:pPr>
        <w:pStyle w:val="Heading2"/>
      </w:pPr>
      <w:r>
        <w:t>4D. Distribution</w:t>
      </w:r>
    </w:p>
    <w:p>
      <w:pPr>
        <w:pStyle w:val="ListBullet"/>
      </w:pPr>
      <w:r>
        <w:t>Capture quantities of SKUs placed on the market by geography and date.</w:t>
      </w:r>
    </w:p>
    <w:p>
      <w:pPr>
        <w:pStyle w:val="ListBullet"/>
      </w:pPr>
      <w:r>
        <w:t>Geographies are always nested within exactly one jurisdiction.</w:t>
      </w:r>
    </w:p>
    <w:p>
      <w:pPr>
        <w:pStyle w:val="ListBullet"/>
      </w:pPr>
      <w:r>
        <w:t>Distribution drives which fee schemes apply.</w:t>
      </w:r>
    </w:p>
    <w:p>
      <w:r>
        <w:t>Visual Builder usage: Connect SKUs → Geographies → Jurisdictions to visualise market placement.</w:t>
      </w:r>
    </w:p>
    <w:p>
      <w:pPr>
        <w:pStyle w:val="Heading2"/>
      </w:pPr>
      <w:r>
        <w:t>4E. Recycling</w:t>
      </w:r>
    </w:p>
    <w:p>
      <w:pPr>
        <w:pStyle w:val="ListBullet"/>
      </w:pPr>
      <w:r>
        <w:t>Define recyclability percentages per material classification and geography.</w:t>
      </w:r>
    </w:p>
    <w:p>
      <w:pPr>
        <w:pStyle w:val="ListBullet"/>
      </w:pPr>
      <w:r>
        <w:t>Used to calculate eco-modulation bonuses or penalties.</w:t>
      </w:r>
    </w:p>
    <w:p>
      <w:pPr>
        <w:pStyle w:val="ListBullet"/>
      </w:pPr>
      <w:r>
        <w:t>Versionable assumptions and data sources.</w:t>
      </w:r>
    </w:p>
    <w:p>
      <w:pPr>
        <w:pStyle w:val="Heading2"/>
      </w:pPr>
      <w:r>
        <w:t>4F. Analysis &amp; Outputs</w:t>
      </w:r>
    </w:p>
    <w:p>
      <w:pPr>
        <w:pStyle w:val="ListBullet"/>
      </w:pPr>
      <w:r>
        <w:t>Calculate EPR, eco-modulation, PRN, and plastics tax in parallel.</w:t>
      </w:r>
    </w:p>
    <w:p>
      <w:pPr>
        <w:pStyle w:val="ListBullet"/>
      </w:pPr>
      <w:r>
        <w:t>Produce totals by SKU, geography, jurisdiction, and scheme.</w:t>
      </w:r>
    </w:p>
    <w:p>
      <w:pPr>
        <w:pStyle w:val="ListBullet"/>
      </w:pPr>
      <w:r>
        <w:t>Support scenario comparison and delta analysis.</w:t>
      </w:r>
    </w:p>
    <w:p>
      <w:pPr>
        <w:pStyle w:val="ListBullet"/>
      </w:pPr>
      <w:r>
        <w:t>Export regulator-ready reports and evidence packs.</w:t>
      </w:r>
    </w:p>
    <w:p>
      <w:r>
        <w:t>Visual Builder usage: Default Sankey blueprints provide immediate insights; users can build custom flows for explanation and consulting.</w:t>
      </w:r>
    </w:p>
    <w:p>
      <w:pPr>
        <w:pStyle w:val="Heading1"/>
      </w:pPr>
      <w:r>
        <w:t>5. Core User Stories</w:t>
      </w:r>
    </w:p>
    <w:p>
      <w:pPr>
        <w:pStyle w:val="Heading2"/>
      </w:pPr>
      <w:r>
        <w:t>Consultant – Visual Explanation</w:t>
      </w:r>
    </w:p>
    <w:p>
      <w:r>
        <w:t>As a packaging consultant, I want to visually show how materials, packaging, SKUs, and jurisdictions drive EPR cost so clients immediately understand cost drivers.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I can switch to the Sankey builder at any time.</w:t>
      </w:r>
    </w:p>
    <w:p>
      <w:pPr>
        <w:pStyle w:val="ListBullet2"/>
      </w:pPr>
      <w:r>
        <w:t>Link thickness reflects selected metric.</w:t>
      </w:r>
    </w:p>
    <w:p>
      <w:pPr>
        <w:pStyle w:val="ListBullet2"/>
      </w:pPr>
      <w:r>
        <w:t>I can click any flow and see exact calculations.</w:t>
      </w:r>
    </w:p>
    <w:p>
      <w:pPr>
        <w:pStyle w:val="Heading2"/>
      </w:pPr>
      <w:r>
        <w:t>Compliance Manager – Accuracy &amp; Audit</w:t>
      </w:r>
    </w:p>
    <w:p>
      <w:r>
        <w:t>As a compliance manager, I want structured tables, versioned fees, and locked calculations so submissions are defensible.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All fees are versioned with approval workflow.</w:t>
      </w:r>
    </w:p>
    <w:p>
      <w:pPr>
        <w:pStyle w:val="ListBullet2"/>
      </w:pPr>
      <w:r>
        <w:t>Calculation snapshots are immutable.</w:t>
      </w:r>
    </w:p>
    <w:p>
      <w:pPr>
        <w:pStyle w:val="ListBullet2"/>
      </w:pPr>
      <w:r>
        <w:t>Exports match regulator formats.</w:t>
      </w:r>
    </w:p>
    <w:p>
      <w:pPr>
        <w:pStyle w:val="Heading2"/>
      </w:pPr>
      <w:r>
        <w:t>Sustainability Team – Scenario Modelling</w:t>
      </w:r>
    </w:p>
    <w:p>
      <w:r>
        <w:t>As a sustainability lead, I want to compare packaging scenarios and see cost and recyclability impact.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I can clone a scenario and change packaging.</w:t>
      </w:r>
    </w:p>
    <w:p>
      <w:pPr>
        <w:pStyle w:val="ListBullet2"/>
      </w:pPr>
      <w:r>
        <w:t>Delta views show increase/decrease clearly.</w:t>
      </w:r>
    </w:p>
    <w:p>
      <w:pPr>
        <w:pStyle w:val="ListBullet2"/>
      </w:pPr>
      <w:r>
        <w:t>Visual and table views stay in sync.</w:t>
      </w:r>
    </w:p>
    <w:p>
      <w:pPr>
        <w:pStyle w:val="Heading2"/>
      </w:pPr>
      <w:r>
        <w:t>Packaging Company – Cost Control</w:t>
      </w:r>
    </w:p>
    <w:p>
      <w:r>
        <w:t>As a packaging supplier, I want to see packaging cost + tax together so I can optimise designs.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Packaging cost per component is visible.</w:t>
      </w:r>
    </w:p>
    <w:p>
      <w:pPr>
        <w:pStyle w:val="ListBullet2"/>
      </w:pPr>
      <w:r>
        <w:t>Total economic impact is clear per SKU.</w:t>
      </w:r>
    </w:p>
    <w:p>
      <w:pPr>
        <w:pStyle w:val="Heading1"/>
      </w:pPr>
      <w:r>
        <w:t>6. Beta Success Criteria</w:t>
      </w:r>
    </w:p>
    <w:p>
      <w:pPr>
        <w:pStyle w:val="ListBullet"/>
      </w:pPr>
      <w:r>
        <w:t>A new user can model a full product → jurisdiction flow in under 30 minutes.</w:t>
      </w:r>
    </w:p>
    <w:p>
      <w:pPr>
        <w:pStyle w:val="ListBullet"/>
      </w:pPr>
      <w:r>
        <w:t>All default Sankey blueprints render correctly with sample data.</w:t>
      </w:r>
    </w:p>
    <w:p>
      <w:pPr>
        <w:pStyle w:val="ListBullet"/>
      </w:pPr>
      <w:r>
        <w:t>Visual and table interfaces remain perfectly consistent.</w:t>
      </w:r>
    </w:p>
    <w:p>
      <w:pPr>
        <w:pStyle w:val="ListBullet"/>
      </w:pPr>
      <w:r>
        <w:t>Users can explain any number shown in under 3 clicks.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