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while the mean gap, pulled towards zero by a high-earning bank upper tail, is significant in only two of four specifications and therefore null by the rule. After tax cooperatives retain about two percentage points more, a stable result; the pre-tax gap under controls is about three fifths of the after-tax one, so the exemption of cooperative acts from income tax and social contribution accounts for about two fifths of it.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