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use this setting to ask whether the cooperative form retains distinct balance-sheet characteristics. Using a quarterly panel of every full-methodology institution from 2017 to 2024, 130 singular credit cooperatives and 144 banks, we relate eleven balance-sheet and performance measures to a cooperative dummy. The estimates control for size and time and are repeated on a matched sample and across five comparison groups. Three results emerge. First, cooperatives of comparable size allocate more of their assets to credit than banks nationally, operate at lower cost and show steadier returns; before tax the typical cooperative earns more than a comparable bank, although the mean gap does not hold across specifications, and after tax cooperatives retain about two percentage points more, of which the tax exemption of cooperative acts accounts for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Whether the differences bear on the territorial role of cooperative lenders is the claim these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Under the same prudential rules, the largest credit cooperatives lend a larger share of their assets than banks of the same size, run at lower cost and post steadier returns. Before tax the typical cooperative earns somewhat more than a comparable bank, although the average gap depends on the specification; after tax it keeps about two percentage points more, of which the tax exemption explains about two fifths, and what it keeps is the only capital it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is earned before tax, on an intermediation margin that matches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