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A7035" w:rsidR="00E07772" w:rsidRDefault="00BB757E" w14:paraId="1D7B6D50" w14:textId="69996176">
      <w:pPr>
        <w:pStyle w:val="Ttulo1"/>
        <w:rPr>
          <w:lang w:val="pt-BR"/>
        </w:rPr>
      </w:pPr>
      <w:r>
        <w:rPr>
          <w:lang w:val="pt-BR"/>
        </w:rPr>
        <w:t>Cooperativas de crédito e bancos sob o mesmo arcabouço prudencial</w:t>
      </w:r>
    </w:p>
    <w:p w:rsidRPr="00DA7035" w:rsidR="00E07772" w:rsidRDefault="007519DB" w14:paraId="384CE5C4" w14:textId="77777777">
      <w:pPr>
        <w:pStyle w:val="Ttulo2"/>
        <w:rPr>
          <w:lang w:val="pt-BR"/>
        </w:rPr>
      </w:pPr>
      <w:r>
        <w:rPr>
          <w:lang w:val="pt-BR"/>
        </w:rPr>
        <w:t>CONTATO</w:t>
      </w:r>
    </w:p>
    <w:p w:rsidR="00E07772" w:rsidP="00163E9B" w:rsidRDefault="007519DB" w14:paraId="137CABF6" w14:textId="0AD6CD98">
      <w:pPr>
        <w:spacing w:line="276" w:lineRule="auto"/>
        <w:rPr>
          <w:lang w:val="pt-BR"/>
        </w:rPr>
      </w:pPr>
      <w:r w:rsidRPr="00163E9B">
        <w:rPr>
          <w:b/>
          <w:bCs/>
          <w:lang w:val="pt-BR"/>
        </w:rPr>
        <w:t>Núcleo de Inteligência e Inovação</w:t>
      </w:r>
      <w:r>
        <w:rPr>
          <w:lang w:val="pt-BR"/>
        </w:rPr>
        <w:t>. Sistema OCB Nacional.</w:t>
      </w:r>
      <w:r w:rsidR="00163E9B">
        <w:rPr>
          <w:lang w:val="pt-BR"/>
        </w:rPr>
        <w:t xml:space="preserve"> </w:t>
      </w:r>
      <w:hyperlink w:history="1" r:id="rId11">
        <w:r w:rsidRPr="000A3CCD" w:rsidR="00163E9B">
          <w:rPr>
            <w:rStyle w:val="Hyperlink"/>
            <w:lang w:val="pt-BR"/>
          </w:rPr>
          <w:t>nucleo@ocb.coop.br</w:t>
        </w:r>
      </w:hyperlink>
      <w:r w:rsidR="00163E9B">
        <w:rPr>
          <w:lang w:val="pt-BR"/>
        </w:rPr>
        <w:t xml:space="preserve"> </w:t>
      </w:r>
    </w:p>
    <w:p w:rsidR="00E07772" w:rsidP="00163E9B" w:rsidRDefault="007519DB" w14:paraId="30DDC6EC" w14:textId="5E85F5F9">
      <w:pPr>
        <w:spacing w:line="276" w:lineRule="auto"/>
        <w:rPr>
          <w:lang w:val="pt-BR"/>
        </w:rPr>
      </w:pPr>
      <w:r w:rsidRPr="00163E9B">
        <w:rPr>
          <w:b/>
          <w:bCs/>
          <w:lang w:val="pt-BR"/>
        </w:rPr>
        <w:t xml:space="preserve">Arthur Gomes Nery. </w:t>
      </w:r>
      <w:r>
        <w:rPr>
          <w:lang w:val="pt-BR"/>
        </w:rPr>
        <w:t xml:space="preserve">Analista de Estudos Econômicos. </w:t>
      </w:r>
      <w:hyperlink w:history="1" r:id="rId12">
        <w:r w:rsidRPr="000A3CCD" w:rsidR="00163E9B">
          <w:rPr>
            <w:rStyle w:val="Hyperlink"/>
            <w:lang w:val="pt-BR"/>
          </w:rPr>
          <w:t>arthur.nery@ocb.coop.br</w:t>
        </w:r>
      </w:hyperlink>
      <w:r w:rsidR="00163E9B">
        <w:rPr>
          <w:lang w:val="pt-BR"/>
        </w:rPr>
        <w:t xml:space="preserve"> </w:t>
      </w:r>
    </w:p>
    <w:p w:rsidR="00E07772" w:rsidP="00163E9B" w:rsidRDefault="007519DB" w14:paraId="47251B4F" w14:textId="285CEE09">
      <w:pPr>
        <w:spacing w:line="276" w:lineRule="auto"/>
        <w:rPr>
          <w:lang w:val="pt-BR"/>
        </w:rPr>
      </w:pPr>
      <w:r w:rsidRPr="00163E9B">
        <w:rPr>
          <w:b/>
          <w:bCs/>
          <w:lang w:val="pt-BR"/>
        </w:rPr>
        <w:t>Guilherme Costa.</w:t>
      </w:r>
      <w:r>
        <w:rPr>
          <w:lang w:val="pt-BR"/>
        </w:rPr>
        <w:t xml:space="preserve"> Gerente do Núcleo de Inteligência e Inovação. </w:t>
      </w:r>
      <w:hyperlink w:history="1" r:id="rId13">
        <w:r w:rsidRPr="000A3CCD" w:rsidR="00163E9B">
          <w:rPr>
            <w:rStyle w:val="Hyperlink"/>
            <w:lang w:val="pt-BR"/>
          </w:rPr>
          <w:t>guilherme.costa@sescoop.coop.br</w:t>
        </w:r>
      </w:hyperlink>
      <w:r w:rsidR="00163E9B">
        <w:rPr>
          <w:lang w:val="pt-BR"/>
        </w:rPr>
        <w:t xml:space="preserve"> </w:t>
      </w:r>
    </w:p>
    <w:p w:rsidR="00163E9B" w:rsidP="00163E9B" w:rsidRDefault="00163E9B" w14:paraId="6C2A07B3" w14:textId="77777777">
      <w:pPr>
        <w:spacing w:line="276" w:lineRule="auto"/>
        <w:jc w:val="both"/>
        <w:rPr>
          <w:lang w:val="pt-BR"/>
        </w:rPr>
      </w:pPr>
    </w:p>
    <w:p w:rsidR="00E07772" w:rsidP="00163E9B" w:rsidRDefault="007519DB" w14:paraId="75957BCA" w14:textId="6F42AE6A">
      <w:pPr>
        <w:spacing w:line="276" w:lineRule="auto"/>
        <w:jc w:val="both"/>
        <w:rPr>
          <w:lang w:val="pt-BR"/>
        </w:rPr>
      </w:pPr>
      <w:r>
        <w:rPr>
          <w:lang w:val="pt-BR"/>
        </w:rPr>
        <w:t>Data de elaboração: setembro de 2026.</w:t>
      </w:r>
    </w:p>
    <w:p w:rsidR="002B6543" w:rsidRDefault="007519DB" w14:paraId="6169574D" w14:textId="77777777">
      <w:pPr>
        <w:pStyle w:val="Ttulo2"/>
        <w:rPr>
          <w:lang w:val="pt-BR"/>
        </w:rPr>
      </w:pPr>
      <w:r>
        <w:rPr>
          <w:lang w:val="pt-BR"/>
        </w:rPr>
        <w:t>RESUMO EXECUTIVO</w:t>
      </w:r>
    </w:p>
    <w:p w:rsidR="00975DC1" w:rsidP="00975DC1" w:rsidRDefault="002B6543" w14:paraId="58F39995" w14:textId="77777777">
      <w:pPr>
        <w:spacing w:after="120"/>
        <w:ind w:firstLine="720"/>
        <w:jc w:val="both"/>
        <w:rPr>
          <w:color w:val="000000"/>
          <w:lang w:val="pt-BR"/>
        </w:rPr>
      </w:pPr>
      <w:r>
        <w:rPr>
          <w:color w:val="000000"/>
          <w:lang w:val="pt-BR"/>
        </w:rPr>
        <w:t xml:space="preserve">O estudo compara cooperativas de crédito e bancos sob as mesmas regras prudenciais, com dados públicos do Banco Central e controle de porte, e dá ao Sistema OCB uma base de evidência para o diálogo com o BCB. Em porte comparável, as cooperativas </w:t>
      </w:r>
      <w:r>
        <w:rPr>
          <w:b/>
          <w:bCs/>
          <w:color w:val="000000"/>
          <w:lang w:val="pt-BR"/>
        </w:rPr>
        <w:t xml:space="preserve">emprestam mais</w:t>
      </w:r>
      <w:r>
        <w:rPr>
          <w:color w:val="000000"/>
          <w:lang w:val="pt-BR"/>
        </w:rPr>
        <w:t xml:space="preserve">, </w:t>
      </w:r>
      <w:r>
        <w:rPr>
          <w:b/>
          <w:bCs/>
          <w:color w:val="000000"/>
          <w:lang w:val="pt-BR"/>
        </w:rPr>
        <w:t xml:space="preserve">operam com custo menor</w:t>
      </w:r>
      <w:r>
        <w:rPr>
          <w:color w:val="000000"/>
          <w:lang w:val="pt-BR"/>
        </w:rPr>
        <w:t xml:space="preserve"> e têm </w:t>
      </w:r>
      <w:r>
        <w:rPr>
          <w:b/>
          <w:bCs/>
          <w:color w:val="000000"/>
          <w:lang w:val="pt-BR"/>
        </w:rPr>
        <w:t xml:space="preserve">retornos mais estáveis</w:t>
      </w:r>
      <w:r>
        <w:rPr>
          <w:color w:val="000000"/>
          <w:lang w:val="pt-BR"/>
        </w:rPr>
        <w:t xml:space="preserve"> que os bancos. Antes dos tributos, o retorno sobre o ativo é </w:t>
      </w:r>
      <w:r>
        <w:rPr>
          <w:b/>
          <w:bCs/>
          <w:color w:val="000000"/>
          <w:lang w:val="pt-BR"/>
        </w:rPr>
        <w:t xml:space="preserve">semelhante ao dos bancos</w:t>
      </w:r>
      <w:r>
        <w:rPr>
          <w:color w:val="000000"/>
          <w:lang w:val="pt-BR"/>
        </w:rPr>
        <w:t xml:space="preserve">; depois deles, a cooperativa </w:t>
      </w:r>
      <w:r>
        <w:rPr>
          <w:b/>
          <w:bCs/>
          <w:color w:val="000000"/>
          <w:lang w:val="pt-BR"/>
        </w:rPr>
        <w:t xml:space="preserve">retém mais</w:t>
      </w:r>
      <w:r>
        <w:rPr>
          <w:color w:val="000000"/>
          <w:lang w:val="pt-BR"/>
        </w:rPr>
        <w:t xml:space="preserve">, porque o ato cooperativo é isento de IRPJ e CSLL, e o que ela retém é o único capital que pode construir. Na média, coops têm menos capital, mas porque a média dos bancos é puxada para cima por bancos pequenos com capital muito acima do exigido.</w:t>
      </w:r>
    </w:p>
    <w:p w:rsidRPr="00975DC1" w:rsidR="00E07772" w:rsidP="00975DC1" w:rsidRDefault="00975DC1" w14:paraId="02BAE946" w14:textId="5A6467EB">
      <w:pPr>
        <w:spacing w:after="120"/>
        <w:ind w:firstLine="720"/>
        <w:jc w:val="both"/>
        <w:rPr>
          <w:color w:val="000000"/>
          <w:lang w:val="pt-BR"/>
        </w:rPr>
      </w:pPr>
      <w:r w:rsidRPr="00975DC1">
        <w:rPr>
          <w:b/>
          <w:bCs/>
          <w:color w:val="000000"/>
          <w:lang w:val="pt-BR"/>
        </w:rPr>
        <w:t>Entre as instituições menos capitalizadas</w:t>
      </w:r>
      <w:r w:rsidRPr="00975DC1">
        <w:rPr>
          <w:color w:val="000000"/>
          <w:lang w:val="pt-BR"/>
        </w:rPr>
        <w:t xml:space="preserve">, onde está o risco, as </w:t>
      </w:r>
      <w:r w:rsidRPr="00975DC1">
        <w:rPr>
          <w:b/>
          <w:bCs/>
          <w:color w:val="000000"/>
          <w:lang w:val="pt-BR"/>
        </w:rPr>
        <w:t>cooperativas têm mais capital que os bancos</w:t>
      </w:r>
      <w:r w:rsidRPr="00975DC1" w:rsidR="002B6543">
        <w:rPr>
          <w:color w:val="000000"/>
          <w:lang w:val="pt-BR"/>
        </w:rPr>
        <w:t>. O estudo também indica onde o discurso deve ser cuidadoso: o argumento de provisionamento mais conservador não se sustenta, e os resultados não justificam, por si sós, um pedido de alívio regulatório. A agenda que emerge é discutir com o Banco Central o tratamento dos sistemas cooperativos na regulação proporcional.</w:t>
      </w:r>
    </w:p>
    <w:p w:rsidRPr="00F675F5" w:rsidR="00EE11DE" w:rsidP="00EE11DE" w:rsidRDefault="00EE11DE" w14:paraId="25C7E98E" w14:textId="77777777">
      <w:pPr>
        <w:pStyle w:val="PargrafodaLista"/>
        <w:numPr>
          <w:ilvl w:val="0"/>
          <w:numId w:val="13"/>
        </w:numPr>
        <w:spacing w:after="80" w:line="336" w:lineRule="auto"/>
        <w:jc w:val="both"/>
        <w:rPr>
          <w:lang w:val="pt-BR"/>
        </w:rPr>
      </w:pPr>
      <w:r w:rsidRPr="00F675F5">
        <w:rPr>
          <w:lang w:val="pt-BR"/>
        </w:rPr>
        <w:t xml:space="preserve">Desde 2017, a cooperativa de crédito cujo porte supera 0,1% do PIB, ou que opta por deixar o regime simplificado, apura capital, riscos e provisões pelas </w:t>
      </w:r>
      <w:r w:rsidRPr="00923A8A">
        <w:rPr>
          <w:b/>
          <w:lang w:val="pt-BR"/>
        </w:rPr>
        <w:t>mesmas regras aplicadas a um banco comercial</w:t>
      </w:r>
      <w:r w:rsidRPr="00F675F5">
        <w:rPr>
          <w:lang w:val="pt-BR"/>
        </w:rPr>
        <w:t>.</w:t>
      </w:r>
    </w:p>
    <w:p w:rsidRPr="00F675F5" w:rsidR="00EE11DE" w:rsidP="00EE11DE" w:rsidRDefault="00EE11DE" w14:paraId="0157BCC3" w14:textId="77777777">
      <w:pPr>
        <w:pStyle w:val="PargrafodaLista"/>
        <w:numPr>
          <w:ilvl w:val="0"/>
          <w:numId w:val="13"/>
        </w:numPr>
        <w:spacing w:after="80" w:line="336" w:lineRule="auto"/>
        <w:jc w:val="both"/>
        <w:rPr>
          <w:lang w:val="pt-BR"/>
        </w:rPr>
      </w:pPr>
      <w:r w:rsidRPr="00F675F5">
        <w:rPr>
          <w:lang w:val="pt-BR"/>
        </w:rPr>
        <w:t xml:space="preserve">Este estudo compara 130 cooperativas singulares e 144 bancos nessa situação, com dados públicos do </w:t>
      </w:r>
      <w:proofErr w:type="spellStart"/>
      <w:r w:rsidRPr="00F675F5">
        <w:rPr>
          <w:lang w:val="pt-BR"/>
        </w:rPr>
        <w:t>IF.data</w:t>
      </w:r>
      <w:proofErr w:type="spellEnd"/>
      <w:r w:rsidRPr="00F675F5">
        <w:rPr>
          <w:lang w:val="pt-BR"/>
        </w:rPr>
        <w:t xml:space="preserve"> de 2017 a 2024, controlando o porte das instituições.</w:t>
      </w:r>
    </w:p>
    <w:p w:rsidRPr="00F675F5" w:rsidR="00EE11DE" w:rsidP="00EE11DE" w:rsidRDefault="00EE11DE" w14:paraId="1DF145F4" w14:textId="77777777">
      <w:pPr>
        <w:pStyle w:val="PargrafodaLista"/>
        <w:numPr>
          <w:ilvl w:val="0"/>
          <w:numId w:val="13"/>
        </w:numPr>
        <w:spacing w:after="80" w:line="336" w:lineRule="auto"/>
        <w:jc w:val="both"/>
        <w:rPr>
          <w:lang w:val="pt-BR"/>
        </w:rPr>
      </w:pPr>
      <w:r>
        <w:rPr>
          <w:lang w:val="pt-BR"/>
        </w:rPr>
        <w:t xml:space="preserve">Em relação a bancos de porte semelhante, as cooperativas destinam parcela maior do ativo ao crédito, </w:t>
      </w:r>
      <w:r>
        <w:rPr>
          <w:b/>
          <w:bCs/>
          <w:lang w:val="pt-BR"/>
        </w:rPr>
        <w:t xml:space="preserve">operam com custo menor e apresentam retornos mais estáveis</w:t>
      </w:r>
      <w:r>
        <w:rPr>
          <w:lang w:val="pt-BR"/>
        </w:rPr>
        <w:t xml:space="preserve">; antes dos tributos, o retorno sobre o ativo é semelhante ao dos bancos e, depois deles, cerca de dois pontos percentuais maior, em boa parte pela </w:t>
      </w:r>
      <w:r>
        <w:rPr>
          <w:b/>
          <w:bCs/>
          <w:lang w:val="pt-BR"/>
        </w:rPr>
        <w:t xml:space="preserve">isenção tributária do ato cooperativo</w:t>
      </w:r>
      <w:r>
        <w:rPr>
          <w:lang w:val="pt-BR"/>
        </w:rPr>
        <w:t xml:space="preserve">.</w:t>
      </w:r>
    </w:p>
    <w:p w:rsidRPr="00F675F5" w:rsidR="00EE11DE" w:rsidP="00EE11DE" w:rsidRDefault="00EE11DE" w14:paraId="4C157590" w14:textId="77777777">
      <w:pPr>
        <w:pStyle w:val="PargrafodaLista"/>
        <w:numPr>
          <w:ilvl w:val="0"/>
          <w:numId w:val="13"/>
        </w:numPr>
        <w:spacing w:after="80" w:line="336" w:lineRule="auto"/>
        <w:jc w:val="both"/>
        <w:rPr>
          <w:lang w:val="pt-BR"/>
        </w:rPr>
      </w:pPr>
      <w:r w:rsidRPr="00F675F5">
        <w:rPr>
          <w:lang w:val="pt-BR"/>
        </w:rPr>
        <w:t xml:space="preserve">A diferença de capital é moderada em nível e </w:t>
      </w:r>
      <w:r w:rsidRPr="00923A8A">
        <w:rPr>
          <w:b/>
          <w:lang w:val="pt-BR"/>
        </w:rPr>
        <w:t>grande em dispersão</w:t>
      </w:r>
      <w:r w:rsidRPr="00F675F5">
        <w:rPr>
          <w:lang w:val="pt-BR"/>
        </w:rPr>
        <w:t xml:space="preserve">: as cooperativas se concentram em uma faixa estreita do índice de Basileia e não </w:t>
      </w:r>
      <w:r w:rsidRPr="00F675F5">
        <w:rPr>
          <w:lang w:val="pt-BR"/>
        </w:rPr>
        <w:lastRenderedPageBreak/>
        <w:t>apresentam a cauda de bancos pequenos com índices acima de 50%.</w:t>
      </w:r>
    </w:p>
    <w:p w:rsidRPr="00F675F5" w:rsidR="00EE11DE" w:rsidP="00EE11DE" w:rsidRDefault="00EE11DE" w14:paraId="6E4BE512" w14:textId="77777777">
      <w:pPr>
        <w:pStyle w:val="PargrafodaLista"/>
        <w:numPr>
          <w:ilvl w:val="0"/>
          <w:numId w:val="13"/>
        </w:numPr>
        <w:spacing w:after="80" w:line="336" w:lineRule="auto"/>
        <w:jc w:val="both"/>
        <w:rPr>
          <w:lang w:val="pt-BR"/>
        </w:rPr>
      </w:pPr>
      <w:r w:rsidRPr="00F675F5">
        <w:rPr>
          <w:lang w:val="pt-BR"/>
        </w:rPr>
        <w:t xml:space="preserve">Duas diferenças citadas com frequência, o menor provisionamento e a margem mais estreita, </w:t>
      </w:r>
      <w:r w:rsidRPr="00923A8A">
        <w:rPr>
          <w:b/>
          <w:lang w:val="pt-BR"/>
        </w:rPr>
        <w:t>desaparecem quando a comparação se restringe aos bancos</w:t>
      </w:r>
      <w:r w:rsidRPr="00F675F5">
        <w:rPr>
          <w:lang w:val="pt-BR"/>
        </w:rPr>
        <w:t>.</w:t>
      </w:r>
    </w:p>
    <w:p w:rsidR="00EE11DE" w:rsidP="00EE11DE" w:rsidRDefault="00EE11DE" w14:paraId="709FDE45" w14:textId="77777777">
      <w:pPr>
        <w:pStyle w:val="PargrafodaLista"/>
        <w:numPr>
          <w:ilvl w:val="0"/>
          <w:numId w:val="13"/>
        </w:numPr>
        <w:spacing w:after="80" w:line="336" w:lineRule="auto"/>
        <w:jc w:val="both"/>
      </w:pPr>
      <w:r w:rsidRPr="00F675F5">
        <w:rPr>
          <w:lang w:val="pt-BR"/>
        </w:rPr>
        <w:t xml:space="preserve">Para a regulação proporcional, os resultados indicam duas dimensões além do porte: o tratamento dos sistemas cooperativos e a calibragem do referencial prudencial. </w:t>
      </w:r>
      <w:r w:rsidRPr="00923A8A">
        <w:rPr>
          <w:b/>
        </w:rPr>
        <w:t xml:space="preserve">Um </w:t>
      </w:r>
      <w:proofErr w:type="spellStart"/>
      <w:r w:rsidRPr="00923A8A">
        <w:rPr>
          <w:b/>
        </w:rPr>
        <w:t>alívio</w:t>
      </w:r>
      <w:proofErr w:type="spellEnd"/>
      <w:r w:rsidRPr="00923A8A">
        <w:rPr>
          <w:b/>
        </w:rPr>
        <w:t xml:space="preserve"> </w:t>
      </w:r>
      <w:proofErr w:type="spellStart"/>
      <w:r w:rsidRPr="00923A8A">
        <w:rPr>
          <w:b/>
        </w:rPr>
        <w:t>regulatório</w:t>
      </w:r>
      <w:proofErr w:type="spellEnd"/>
      <w:r w:rsidRPr="00923A8A">
        <w:rPr>
          <w:b/>
        </w:rPr>
        <w:t xml:space="preserve"> </w:t>
      </w:r>
      <w:proofErr w:type="spellStart"/>
      <w:r w:rsidRPr="00923A8A">
        <w:rPr>
          <w:b/>
        </w:rPr>
        <w:t>não</w:t>
      </w:r>
      <w:proofErr w:type="spellEnd"/>
      <w:r w:rsidRPr="00923A8A">
        <w:rPr>
          <w:b/>
        </w:rPr>
        <w:t xml:space="preserve"> </w:t>
      </w:r>
      <w:proofErr w:type="spellStart"/>
      <w:r w:rsidRPr="00923A8A">
        <w:rPr>
          <w:b/>
        </w:rPr>
        <w:t>decorre</w:t>
      </w:r>
      <w:proofErr w:type="spellEnd"/>
      <w:r w:rsidRPr="00923A8A">
        <w:rPr>
          <w:b/>
        </w:rPr>
        <w:t xml:space="preserve"> </w:t>
      </w:r>
      <w:proofErr w:type="spellStart"/>
      <w:r w:rsidRPr="00923A8A">
        <w:rPr>
          <w:b/>
        </w:rPr>
        <w:t>automaticamente</w:t>
      </w:r>
      <w:proofErr w:type="spellEnd"/>
      <w:r w:rsidRPr="00923A8A">
        <w:rPr>
          <w:b/>
        </w:rPr>
        <w:t xml:space="preserve"> </w:t>
      </w:r>
      <w:proofErr w:type="spellStart"/>
      <w:r w:rsidRPr="00923A8A">
        <w:rPr>
          <w:b/>
        </w:rPr>
        <w:t>desses</w:t>
      </w:r>
      <w:proofErr w:type="spellEnd"/>
      <w:r w:rsidRPr="00923A8A">
        <w:rPr>
          <w:b/>
        </w:rPr>
        <w:t xml:space="preserve"> </w:t>
      </w:r>
      <w:proofErr w:type="spellStart"/>
      <w:r w:rsidRPr="00923A8A">
        <w:rPr>
          <w:b/>
        </w:rPr>
        <w:t>resultados</w:t>
      </w:r>
      <w:proofErr w:type="spellEnd"/>
      <w:r w:rsidRPr="00923A8A">
        <w:rPr>
          <w:b/>
        </w:rPr>
        <w:t>.</w:t>
      </w:r>
    </w:p>
    <w:p w:rsidR="00EE11DE" w:rsidRDefault="00EE11DE" w14:paraId="6B9FD780" w14:textId="77777777">
      <w:pPr>
        <w:spacing w:line="240" w:lineRule="auto"/>
        <w:rPr>
          <w:rFonts w:ascii="Tahoma" w:hAnsi="Tahoma" w:eastAsiaTheme="majorEastAsia" w:cstheme="majorBidi"/>
          <w:b/>
          <w:color w:val="003974"/>
          <w:sz w:val="28"/>
          <w:szCs w:val="32"/>
          <w:lang w:val="pt-BR"/>
        </w:rPr>
      </w:pPr>
      <w:r>
        <w:rPr>
          <w:lang w:val="pt-BR"/>
        </w:rPr>
        <w:br w:type="page"/>
      </w:r>
    </w:p>
    <w:p w:rsidRPr="00DA7035" w:rsidR="00E07772" w:rsidRDefault="007519DB" w14:paraId="490EDDD3" w14:textId="1B7438AF">
      <w:pPr>
        <w:pStyle w:val="Ttulo1"/>
        <w:rPr>
          <w:lang w:val="pt-BR"/>
        </w:rPr>
      </w:pPr>
      <w:r>
        <w:rPr>
          <w:lang w:val="pt-BR"/>
        </w:rPr>
        <w:lastRenderedPageBreak/>
        <w:t xml:space="preserve">PARTE 1. </w:t>
      </w:r>
      <w:r w:rsidR="00EE11DE">
        <w:rPr>
          <w:lang w:val="pt-BR"/>
        </w:rPr>
        <w:t>CONTEXTO</w:t>
      </w:r>
    </w:p>
    <w:p w:rsidRPr="00DA7035" w:rsidR="00E07772" w:rsidRDefault="00EE11DE" w14:paraId="5A60CC0E" w14:textId="4B5CE29D">
      <w:pPr>
        <w:pStyle w:val="Ttulo2"/>
        <w:rPr>
          <w:lang w:val="pt-BR"/>
        </w:rPr>
      </w:pPr>
      <w:r>
        <w:rPr>
          <w:lang w:val="pt-BR"/>
        </w:rPr>
        <w:t>arcabouço prudencial</w:t>
      </w:r>
    </w:p>
    <w:p w:rsidRPr="00F675F5" w:rsidR="000336C6" w:rsidP="000336C6" w:rsidRDefault="000336C6" w14:paraId="68F44334" w14:textId="77777777">
      <w:pPr>
        <w:spacing w:after="120"/>
        <w:ind w:firstLine="720"/>
        <w:jc w:val="both"/>
        <w:rPr>
          <w:lang w:val="pt-BR"/>
        </w:rPr>
      </w:pPr>
      <w:r w:rsidRPr="00F675F5">
        <w:rPr>
          <w:lang w:val="pt-BR"/>
        </w:rPr>
        <w:t>A regulação prudencial convergiu para um modelo único. O acordo de Basileia III define a estrutura de capital, de alavancagem e de mensuração de riscos, e cada supervisor nacional a adapta às condições locais. No Brasil, a Resolução CMN 4.553/2017 enquadra as instituições autorizadas a funcionar em cinco segmentos, conforme o porte e a relevância da atividade internacional. Os segmentos S1 a S4 aplicam a metodologia completa. O S5 é composto pelas instituições de porte inferior a 0,1% do PIB que optam pela metodologia facultativa simplificada de apuração dos requerimentos mínimos de capital (Resolução CMN 4.606/2017). Bancos comerciais, múltiplos, de investimento e de câmbio não podem integrar o S5, qualquer que seja o porte.</w:t>
      </w:r>
    </w:p>
    <w:p w:rsidR="000336C6" w:rsidP="000336C6" w:rsidRDefault="000336C6" w14:paraId="7DC2FFB3" w14:textId="77777777">
      <w:pPr>
        <w:spacing w:after="120"/>
        <w:ind w:firstLine="720"/>
        <w:jc w:val="both"/>
      </w:pPr>
      <w:r w:rsidRPr="00F675F5">
        <w:rPr>
          <w:lang w:val="pt-BR"/>
        </w:rPr>
        <w:t xml:space="preserve">Para o cooperativismo de crédito, a consequência é direta. A cooperativa que ultrapassa esse limite, ou que deixa de adotar a metodologia simplificada, passa a apurar seu capital regulamentar como um banco comercial. Valem para ela a mesma definição de Patrimônio de Referência, os mesmos requerimentos mínimos, os mesmos fatores de ponderação de risco e as mesmas regras de provisionamento. As regras de capital são as das Resoluções CMN 4.192 e 4.193/2013, substituídas em janeiro de 2022 pelas Resoluções 4.955 e 4.958, e a classificação e o provisionamento das operações de crédito seguem a Resolução CMN 2.682/1999. Poucas exigências variam entre os segmentos: os índices de liquidez e o adicional de importância sistêmica aplicam-se apenas ao S1, e a razão de alavancagem, ao S1 e ao S2. </w:t>
      </w:r>
      <w:r>
        <w:t xml:space="preserve">Esses </w:t>
      </w:r>
      <w:proofErr w:type="spellStart"/>
      <w:r>
        <w:t>dois</w:t>
      </w:r>
      <w:proofErr w:type="spellEnd"/>
      <w:r>
        <w:t xml:space="preserve"> </w:t>
      </w:r>
      <w:proofErr w:type="spellStart"/>
      <w:r>
        <w:t>segmentos</w:t>
      </w:r>
      <w:proofErr w:type="spellEnd"/>
      <w:r>
        <w:t xml:space="preserve"> </w:t>
      </w:r>
      <w:proofErr w:type="spellStart"/>
      <w:r>
        <w:t>são</w:t>
      </w:r>
      <w:proofErr w:type="spellEnd"/>
      <w:r>
        <w:t xml:space="preserve"> </w:t>
      </w:r>
      <w:proofErr w:type="spellStart"/>
      <w:r>
        <w:t>formados</w:t>
      </w:r>
      <w:proofErr w:type="spellEnd"/>
      <w:r>
        <w:t xml:space="preserve"> </w:t>
      </w:r>
      <w:proofErr w:type="spellStart"/>
      <w:r>
        <w:t>exclusivamente</w:t>
      </w:r>
      <w:proofErr w:type="spellEnd"/>
      <w:r>
        <w:t xml:space="preserve"> </w:t>
      </w:r>
      <w:proofErr w:type="spellStart"/>
      <w:r>
        <w:t>por</w:t>
      </w:r>
      <w:proofErr w:type="spellEnd"/>
      <w:r>
        <w:t xml:space="preserve"> </w:t>
      </w:r>
      <w:proofErr w:type="spellStart"/>
      <w:r>
        <w:t>bancos</w:t>
      </w:r>
      <w:proofErr w:type="spellEnd"/>
      <w:r>
        <w:t>.</w:t>
      </w:r>
    </w:p>
    <w:p w:rsidR="000336C6" w:rsidP="000336C6" w:rsidRDefault="000336C6" w14:paraId="3CD85FC0" w14:textId="77777777">
      <w:pPr>
        <w:keepNext/>
        <w:keepLines/>
        <w:spacing w:before="120"/>
        <w:jc w:val="center"/>
      </w:pPr>
      <w:r>
        <w:rPr>
          <w:noProof/>
        </w:rPr>
        <w:drawing>
          <wp:inline distT="0" distB="0" distL="0" distR="0" wp14:anchorId="6A3F0FD0" wp14:editId="104E7F60">
            <wp:extent cx="6120130" cy="1874818"/>
            <wp:effectExtent l="0" t="0" r="0" b="0"/>
            <wp:docPr id="1259570911" name="wp1_metodolog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1_metodologia.png"/>
                    <pic:cNvPicPr/>
                  </pic:nvPicPr>
                  <pic:blipFill>
                    <a:blip r:embed="rId14"/>
                    <a:stretch>
                      <a:fillRect/>
                    </a:stretch>
                  </pic:blipFill>
                  <pic:spPr>
                    <a:xfrm>
                      <a:off x="0" y="0"/>
                      <a:ext cx="6120130" cy="1874818"/>
                    </a:xfrm>
                    <a:prstGeom prst="rect">
                      <a:avLst/>
                    </a:prstGeom>
                  </pic:spPr>
                </pic:pic>
              </a:graphicData>
            </a:graphic>
          </wp:inline>
        </w:drawing>
      </w:r>
    </w:p>
    <w:p w:rsidRPr="00F675F5" w:rsidR="000336C6" w:rsidP="000336C6" w:rsidRDefault="000336C6" w14:paraId="53DE2DFA" w14:textId="77777777">
      <w:pPr>
        <w:keepNext/>
        <w:keepLines/>
        <w:spacing w:before="60" w:after="60" w:line="264" w:lineRule="auto"/>
        <w:jc w:val="center"/>
        <w:rPr>
          <w:lang w:val="pt-BR"/>
        </w:rPr>
      </w:pPr>
      <w:r w:rsidRPr="00F675F5">
        <w:rPr>
          <w:b/>
          <w:bCs/>
          <w:sz w:val="18"/>
          <w:szCs w:val="18"/>
          <w:lang w:val="pt-BR"/>
        </w:rPr>
        <w:t xml:space="preserve">Figura 1. </w:t>
      </w:r>
      <w:r w:rsidRPr="00F675F5">
        <w:rPr>
          <w:sz w:val="18"/>
          <w:szCs w:val="18"/>
          <w:lang w:val="pt-BR"/>
        </w:rPr>
        <w:t>Instituições por metodologia prudencial, 2017 a 2024</w:t>
      </w:r>
    </w:p>
    <w:p w:rsidRPr="00F675F5" w:rsidR="000336C6" w:rsidP="000336C6" w:rsidRDefault="000336C6" w14:paraId="0D96B8E0" w14:textId="77777777">
      <w:pPr>
        <w:spacing w:after="240" w:line="264" w:lineRule="auto"/>
        <w:rPr>
          <w:lang w:val="pt-BR"/>
        </w:rPr>
      </w:pPr>
      <w:r w:rsidRPr="00F675F5">
        <w:rPr>
          <w:sz w:val="16"/>
          <w:szCs w:val="16"/>
          <w:lang w:val="pt-BR"/>
        </w:rPr>
        <w:t xml:space="preserve">Fonte: elaboração dos autores com dados do </w:t>
      </w:r>
      <w:proofErr w:type="spellStart"/>
      <w:r w:rsidRPr="00F675F5">
        <w:rPr>
          <w:sz w:val="16"/>
          <w:szCs w:val="16"/>
          <w:lang w:val="pt-BR"/>
        </w:rPr>
        <w:t>IF.data</w:t>
      </w:r>
      <w:proofErr w:type="spellEnd"/>
      <w:r w:rsidRPr="00F675F5">
        <w:rPr>
          <w:sz w:val="16"/>
          <w:szCs w:val="16"/>
          <w:lang w:val="pt-BR"/>
        </w:rPr>
        <w:t xml:space="preserve"> (Banco Central do Brasil). O painel (c) mostra a parcela de instituições enquadradas na metodologia completa. O degrau de 2023 no painel (b) corresponde à entrada dos conglomerados liderados por instituições de pagamento.</w:t>
      </w:r>
    </w:p>
    <w:p w:rsidRPr="00DA7035" w:rsidR="000336C6" w:rsidP="000336C6" w:rsidRDefault="000336C6" w14:paraId="07A22303" w14:textId="79806627">
      <w:pPr>
        <w:pStyle w:val="Ttulo2"/>
        <w:rPr>
          <w:lang w:val="pt-BR"/>
        </w:rPr>
      </w:pPr>
      <w:r>
        <w:rPr>
          <w:lang w:val="pt-BR"/>
        </w:rPr>
        <w:lastRenderedPageBreak/>
        <w:t>O COOPERATIVISMO DE CRÉDITO NO SFN</w:t>
      </w:r>
    </w:p>
    <w:p w:rsidR="002E6114" w:rsidP="006006C6" w:rsidRDefault="002E6114" w14:paraId="6CE243D1" w14:textId="77777777">
      <w:pPr>
        <w:spacing w:after="120"/>
        <w:ind w:firstLine="708"/>
        <w:jc w:val="both"/>
        <w:rPr>
          <w:lang w:val="pt-BR"/>
        </w:rPr>
      </w:pPr>
      <w:r w:rsidRPr="00F675F5">
        <w:rPr>
          <w:lang w:val="pt-BR"/>
        </w:rPr>
        <w:t xml:space="preserve">As cooperativas de crédito são instituições financeiras captadoras de depósitos, de propriedade de seus associados, cuja carteira de crédito se destina majoritariamente a eles. São regidas pela Lei Complementar 130/2009 e, desde janeiro de 2023, pela Resolução CMN 5.051/2022, que as classifica em plenas, clássicas e de capital e empréstimo. O segmento respondia por cerca de 6% dos ativos do Sistema Financeiro Nacional ao final de 2024 e por </w:t>
      </w:r>
      <w:r w:rsidRPr="00923A8A">
        <w:rPr>
          <w:b/>
          <w:lang w:val="pt-BR"/>
        </w:rPr>
        <w:t>6,3% em dezembro de 2025</w:t>
      </w:r>
      <w:r w:rsidRPr="00F675F5">
        <w:rPr>
          <w:lang w:val="pt-BR"/>
        </w:rPr>
        <w:t>, com participação crescente em todos os anos desde 2020. A maior parte das singulares é filiada a sistemas cooperativos, nos quais as centrais oferecem centralização financeira, gestão consolidada de riscos e um canal único de relacionamento com a supervisão.</w:t>
      </w:r>
    </w:p>
    <w:p w:rsidRPr="00DA7035" w:rsidR="002E6114" w:rsidP="002E6114" w:rsidRDefault="002E6114" w14:paraId="5E49BB5D" w14:textId="26CD44F2">
      <w:pPr>
        <w:pStyle w:val="Ttulo2"/>
        <w:rPr>
          <w:lang w:val="pt-BR"/>
        </w:rPr>
      </w:pPr>
      <w:r>
        <w:rPr>
          <w:lang w:val="pt-BR"/>
        </w:rPr>
        <w:t>RELEVÂNCIA INSTITUCIONAL</w:t>
      </w:r>
      <w:r w:rsidR="00581C43">
        <w:rPr>
          <w:lang w:val="pt-BR"/>
        </w:rPr>
        <w:t xml:space="preserve"> E PARA ADVOCACY</w:t>
      </w:r>
    </w:p>
    <w:p w:rsidRPr="00F675F5" w:rsidR="00581C43" w:rsidP="00BB4884" w:rsidRDefault="00581C43" w14:paraId="12C71A83" w14:textId="77777777">
      <w:pPr>
        <w:spacing w:after="120"/>
        <w:ind w:firstLine="720"/>
        <w:jc w:val="both"/>
        <w:rPr>
          <w:lang w:val="pt-BR"/>
        </w:rPr>
      </w:pPr>
      <w:r w:rsidRPr="00F675F5">
        <w:rPr>
          <w:lang w:val="pt-BR"/>
        </w:rPr>
        <w:t>O referencial prudencial é calibrado pela instituição média enquadrada na metodologia completa. Se essa média descreve uma instituição que pouco empresta, a cooperativa que atende à economia local é avaliada por um padrão construído para outro tipo de negócio. A teoria econômica das cooperativas oferece razões para esperar um perfil distinto. O capital da cooperativa é formado por reservas acumuladas ao longo de gerações de associados, um patrimônio sem dono final, que não pode ser reforçado com aportes de investidores externos com direito a voto. A cota-parte do associado é um direito de uso dos serviços da instituição, e os incentivos para acumular capital além do necessário ao atendimento dos cooperados são limitados.</w:t>
      </w:r>
    </w:p>
    <w:p w:rsidRPr="00F675F5" w:rsidR="00581C43" w:rsidP="00BB4884" w:rsidRDefault="00581C43" w14:paraId="7B50D4C6" w14:textId="77777777">
      <w:pPr>
        <w:spacing w:after="120"/>
        <w:ind w:firstLine="708"/>
        <w:jc w:val="both"/>
        <w:rPr>
          <w:lang w:val="pt-BR"/>
        </w:rPr>
      </w:pPr>
      <w:r w:rsidRPr="00F675F5">
        <w:rPr>
          <w:lang w:val="pt-BR"/>
        </w:rPr>
        <w:t>Os levantamentos internacionais sobre proporcionalidade apontam porte, complexidade e modelo de negócios como os critérios adotados pelos supervisores; nenhum deles considera a forma organizacional. Onde o supervisor adapta o arcabouço às cooperativas, a adaptação recai sobre o tratamento das cotas-partes como capital e sobre os arranjos dos sistemas. A literatura empírica internacional indica que os bancos cooperativos são mais estáveis, menos rentáveis e menos capitalizados que os bancos comerciais. Nenhum desses estudos, porém, compara as duas formas de organização sob uma metodologia prudencial comum. O Brasil oferece esse experimento natural.</w:t>
      </w:r>
    </w:p>
    <w:p w:rsidR="000336C6" w:rsidP="00581C43" w:rsidRDefault="000336C6" w14:paraId="56B4963B" w14:textId="77777777">
      <w:pPr>
        <w:spacing w:line="276" w:lineRule="auto"/>
        <w:jc w:val="both"/>
        <w:rPr>
          <w:lang w:val="pt-BR"/>
        </w:rPr>
      </w:pPr>
    </w:p>
    <w:p w:rsidRPr="00DA7035" w:rsidR="00581C43" w:rsidP="00581C43" w:rsidRDefault="00581C43" w14:paraId="563FBB00" w14:textId="3D242BFD">
      <w:pPr>
        <w:pStyle w:val="Ttulo1"/>
        <w:rPr>
          <w:lang w:val="pt-BR"/>
        </w:rPr>
      </w:pPr>
      <w:r>
        <w:rPr>
          <w:lang w:val="pt-BR"/>
        </w:rPr>
        <w:lastRenderedPageBreak/>
        <w:t xml:space="preserve">PARTE </w:t>
      </w:r>
      <w:r w:rsidR="00BD7F51">
        <w:rPr>
          <w:lang w:val="pt-BR"/>
        </w:rPr>
        <w:t>2</w:t>
      </w:r>
      <w:r>
        <w:rPr>
          <w:lang w:val="pt-BR"/>
        </w:rPr>
        <w:t xml:space="preserve">. </w:t>
      </w:r>
      <w:r w:rsidR="00BD7F51">
        <w:rPr>
          <w:lang w:val="pt-BR"/>
        </w:rPr>
        <w:t>DADOS</w:t>
      </w:r>
      <w:r w:rsidR="005179BD">
        <w:rPr>
          <w:lang w:val="pt-BR"/>
        </w:rPr>
        <w:t xml:space="preserve"> E METODOLOGIA</w:t>
      </w:r>
    </w:p>
    <w:p w:rsidRPr="00DA7035" w:rsidR="00581C43" w:rsidP="00581C43" w:rsidRDefault="00156E77" w14:paraId="65F5DB92" w14:textId="7B83F9F2">
      <w:pPr>
        <w:pStyle w:val="Ttulo2"/>
        <w:rPr>
          <w:lang w:val="pt-BR"/>
        </w:rPr>
      </w:pPr>
      <w:r>
        <w:rPr>
          <w:lang w:val="pt-BR"/>
        </w:rPr>
        <w:t>DADOS</w:t>
      </w:r>
    </w:p>
    <w:p w:rsidRPr="00F675F5" w:rsidR="00964D2D" w:rsidP="00BB4884" w:rsidRDefault="00964D2D" w14:paraId="3238C6B3" w14:textId="77777777">
      <w:pPr>
        <w:spacing w:after="120"/>
        <w:ind w:firstLine="720"/>
        <w:jc w:val="both"/>
        <w:rPr>
          <w:lang w:val="pt-BR"/>
        </w:rPr>
      </w:pPr>
      <w:r w:rsidRPr="00F675F5">
        <w:rPr>
          <w:lang w:val="pt-BR"/>
        </w:rPr>
        <w:t xml:space="preserve">Os dados provêm do </w:t>
      </w:r>
      <w:proofErr w:type="spellStart"/>
      <w:r w:rsidRPr="00F675F5">
        <w:rPr>
          <w:lang w:val="pt-BR"/>
        </w:rPr>
        <w:t>IF.data</w:t>
      </w:r>
      <w:proofErr w:type="spellEnd"/>
      <w:r w:rsidRPr="00F675F5">
        <w:rPr>
          <w:lang w:val="pt-BR"/>
        </w:rPr>
        <w:t>, base pública de informações das instituições financeiras divulgada pelo Banco Central do Brasil. Os relatórios de resumo, de segmentação, de composição do ativo e de demonstração de resultado foram combinados por instituição e data-base, de 2014 a 2024. A classificação das instituições segue o tipo de consolidado bancário definido pelo próprio regulador: o código b3S identifica as cooperativas singulares e o b3C, as centrais e confederações. As centrais foram excluídas da análise, por serem entidades de segundo grau, que prestam serviços de centralização financeira e de gestão de riscos às filiadas e mantêm capital elevado por razões estruturais. Uma classificação pelo nome colocaria o Banco Cooperativo Sicredi e o Banco Sicoob, ambos bancos comerciais, no grupo das cooperativas.</w:t>
      </w:r>
    </w:p>
    <w:p w:rsidR="00964D2D" w:rsidP="00BB4884" w:rsidRDefault="00964D2D" w14:paraId="472B8A3B" w14:textId="77777777">
      <w:pPr>
        <w:spacing w:after="120"/>
        <w:ind w:firstLine="720"/>
        <w:jc w:val="both"/>
        <w:rPr>
          <w:lang w:val="pt-BR"/>
        </w:rPr>
      </w:pPr>
      <w:r w:rsidRPr="00F675F5">
        <w:rPr>
          <w:lang w:val="pt-BR"/>
        </w:rPr>
        <w:t>A amostra abrange todas as instituições enquadradas na metodologia completa entre o primeiro trimestre de 2017 e o quarto trimestre de 2024: 130 cooperativas singulares e 144 bancos, em 7.234 observações trimestrais. O grupo de comparação principal reúne os bancos comerciais, os bancos múltiplos com carteira comercial e os bancos múltiplos sem carteira comercial e de investimento. Outros quatro grupos servem de contraponto: todas as instituições não cooperativas, os bancos da mesma macrorregião, apenas os bancos comerciais e os bancos que captaram depósitos em todos os trimestres do período.</w:t>
      </w:r>
    </w:p>
    <w:p w:rsidR="00964D2D" w:rsidP="00964D2D" w:rsidRDefault="00964D2D" w14:paraId="1ADA23BF" w14:textId="0576E6D6">
      <w:pPr>
        <w:pStyle w:val="Ttulo2"/>
        <w:rPr>
          <w:lang w:val="pt-BR"/>
        </w:rPr>
      </w:pPr>
      <w:r>
        <w:rPr>
          <w:lang w:val="pt-BR"/>
        </w:rPr>
        <w:t>INDICADORES</w:t>
      </w:r>
    </w:p>
    <w:p w:rsidRPr="005179BD" w:rsidR="005179BD" w:rsidP="005179BD" w:rsidRDefault="005179BD" w14:paraId="03D1D2EF" w14:textId="77777777">
      <w:pPr>
        <w:pStyle w:val="PargrafodaLista"/>
        <w:numPr>
          <w:ilvl w:val="0"/>
          <w:numId w:val="14"/>
        </w:numPr>
        <w:rPr>
          <w:lang w:val="pt-BR"/>
        </w:rPr>
      </w:pPr>
      <w:r w:rsidRPr="005179BD">
        <w:rPr>
          <w:lang w:val="pt-BR"/>
        </w:rPr>
        <w:t>Índice de Basileia, em pontos percentuais.</w:t>
      </w:r>
    </w:p>
    <w:p w:rsidRPr="005179BD" w:rsidR="005179BD" w:rsidP="005179BD" w:rsidRDefault="005179BD" w14:paraId="2395DBF0" w14:textId="77777777">
      <w:pPr>
        <w:pStyle w:val="PargrafodaLista"/>
        <w:numPr>
          <w:ilvl w:val="0"/>
          <w:numId w:val="14"/>
        </w:numPr>
        <w:rPr>
          <w:lang w:val="pt-BR"/>
        </w:rPr>
      </w:pPr>
      <w:r w:rsidRPr="005179BD">
        <w:rPr>
          <w:lang w:val="pt-BR"/>
        </w:rPr>
        <w:t>Alavancagem: razão entre o passivo total e o ativo total.</w:t>
      </w:r>
    </w:p>
    <w:p w:rsidRPr="005179BD" w:rsidR="005179BD" w:rsidP="005179BD" w:rsidRDefault="005179BD" w14:paraId="47235A1B" w14:textId="77777777">
      <w:pPr>
        <w:pStyle w:val="PargrafodaLista"/>
        <w:numPr>
          <w:ilvl w:val="0"/>
          <w:numId w:val="14"/>
        </w:numPr>
        <w:rPr>
          <w:lang w:val="pt-BR"/>
        </w:rPr>
      </w:pPr>
      <w:r>
        <w:rPr>
          <w:lang w:val="pt-BR"/>
        </w:rPr>
        <w:t xml:space="preserve">Retorno sobre o ativo (ROA), anualizado, após e antes dos tributos.</w:t>
      </w:r>
    </w:p>
    <w:p w:rsidRPr="005179BD" w:rsidR="005179BD" w:rsidP="005179BD" w:rsidRDefault="005179BD" w14:paraId="3244A86F" w14:textId="77777777">
      <w:pPr>
        <w:pStyle w:val="PargrafodaLista"/>
        <w:numPr>
          <w:ilvl w:val="0"/>
          <w:numId w:val="14"/>
        </w:numPr>
        <w:rPr>
          <w:lang w:val="pt-BR"/>
        </w:rPr>
      </w:pPr>
      <w:r w:rsidRPr="005179BD">
        <w:rPr>
          <w:lang w:val="pt-BR"/>
        </w:rPr>
        <w:t>Margem de intermediação financeira sobre o ativo, antes das despesas de provisão.</w:t>
      </w:r>
    </w:p>
    <w:p w:rsidRPr="005179BD" w:rsidR="005179BD" w:rsidP="005179BD" w:rsidRDefault="005179BD" w14:paraId="0EFE7003" w14:textId="77777777">
      <w:pPr>
        <w:pStyle w:val="PargrafodaLista"/>
        <w:numPr>
          <w:ilvl w:val="0"/>
          <w:numId w:val="14"/>
        </w:numPr>
        <w:rPr>
          <w:lang w:val="pt-BR"/>
        </w:rPr>
      </w:pPr>
      <w:r w:rsidRPr="005179BD">
        <w:rPr>
          <w:lang w:val="pt-BR"/>
        </w:rPr>
        <w:t>Índice de eficiência: despesas de pessoal e administrativas sobre as receitas.</w:t>
      </w:r>
    </w:p>
    <w:p w:rsidRPr="005179BD" w:rsidR="005179BD" w:rsidP="005179BD" w:rsidRDefault="005179BD" w14:paraId="521BD3B8" w14:textId="77777777">
      <w:pPr>
        <w:pStyle w:val="PargrafodaLista"/>
        <w:numPr>
          <w:ilvl w:val="0"/>
          <w:numId w:val="14"/>
        </w:numPr>
        <w:rPr>
          <w:lang w:val="pt-BR"/>
        </w:rPr>
      </w:pPr>
      <w:r w:rsidRPr="005179BD">
        <w:rPr>
          <w:lang w:val="pt-BR"/>
        </w:rPr>
        <w:t>Operações de crédito sobre o ativo total.</w:t>
      </w:r>
    </w:p>
    <w:p w:rsidRPr="005179BD" w:rsidR="005179BD" w:rsidP="005179BD" w:rsidRDefault="005179BD" w14:paraId="10960F44" w14:textId="77777777">
      <w:pPr>
        <w:pStyle w:val="PargrafodaLista"/>
        <w:numPr>
          <w:ilvl w:val="0"/>
          <w:numId w:val="14"/>
        </w:numPr>
        <w:rPr>
          <w:lang w:val="pt-BR"/>
        </w:rPr>
      </w:pPr>
      <w:r w:rsidRPr="005179BD">
        <w:rPr>
          <w:lang w:val="pt-BR"/>
        </w:rPr>
        <w:t>Provisão para créditos de liquidação duvidosa sobre a carteira de crédito.</w:t>
      </w:r>
    </w:p>
    <w:p w:rsidRPr="005179BD" w:rsidR="005179BD" w:rsidP="005179BD" w:rsidRDefault="005179BD" w14:paraId="67D459E0" w14:textId="77777777">
      <w:pPr>
        <w:pStyle w:val="PargrafodaLista"/>
        <w:numPr>
          <w:ilvl w:val="0"/>
          <w:numId w:val="14"/>
        </w:numPr>
        <w:rPr>
          <w:lang w:val="pt-BR"/>
        </w:rPr>
      </w:pPr>
      <w:r w:rsidRPr="005179BD">
        <w:rPr>
          <w:lang w:val="pt-BR"/>
        </w:rPr>
        <w:t>Captações de recursos sobre o ativo total.</w:t>
      </w:r>
    </w:p>
    <w:p w:rsidRPr="005179BD" w:rsidR="005179BD" w:rsidP="005179BD" w:rsidRDefault="005179BD" w14:paraId="5888CCBA" w14:textId="77777777">
      <w:pPr>
        <w:pStyle w:val="PargrafodaLista"/>
        <w:numPr>
          <w:ilvl w:val="0"/>
          <w:numId w:val="14"/>
        </w:numPr>
        <w:rPr>
          <w:lang w:val="pt-BR"/>
        </w:rPr>
      </w:pPr>
      <w:r w:rsidRPr="005179BD">
        <w:rPr>
          <w:lang w:val="pt-BR"/>
        </w:rPr>
        <w:t>Volatilidade do ROA e z-score, calculados por instituição ao longo do período.</w:t>
      </w:r>
    </w:p>
    <w:p w:rsidRPr="00964D2D" w:rsidR="00964D2D" w:rsidP="00964D2D" w:rsidRDefault="00964D2D" w14:paraId="66935FCD" w14:textId="77777777">
      <w:pPr>
        <w:rPr>
          <w:lang w:val="pt-BR"/>
        </w:rPr>
      </w:pPr>
    </w:p>
    <w:p w:rsidRPr="00DA7035" w:rsidR="005179BD" w:rsidP="005179BD" w:rsidRDefault="005179BD" w14:paraId="20E4C55F" w14:textId="26C66AE5">
      <w:pPr>
        <w:pStyle w:val="Ttulo2"/>
        <w:rPr>
          <w:lang w:val="pt-BR"/>
        </w:rPr>
      </w:pPr>
      <w:r>
        <w:rPr>
          <w:lang w:val="pt-BR"/>
        </w:rPr>
        <w:lastRenderedPageBreak/>
        <w:t>Metodologia</w:t>
      </w:r>
    </w:p>
    <w:p w:rsidRPr="00EF53B4" w:rsidR="00EF53B4" w:rsidP="00BB4884" w:rsidRDefault="00EF53B4" w14:paraId="48E7A6FE" w14:textId="77777777">
      <w:pPr>
        <w:spacing w:after="120"/>
        <w:ind w:firstLine="720"/>
        <w:jc w:val="both"/>
        <w:rPr>
          <w:lang w:val="pt-BR"/>
        </w:rPr>
      </w:pPr>
      <w:r w:rsidRPr="00EF53B4">
        <w:rPr>
          <w:lang w:val="pt-BR"/>
        </w:rPr>
        <w:t xml:space="preserve">Para cada indicador, estima-se a diferença entre cooperativas e bancos em quatro especificações de rigor crescente: a diferença simples de médias; o controle por porte (logaritmo do ativo total) e por trimestre; o pareamento exato por faixas de porte, com controle por região; e a restrição à faixa de porte em que os dois grupos se sobrepõem. Os erros-padrão são agrupados por instituição, e a significância é confirmada por um procedimento de </w:t>
      </w:r>
      <w:proofErr w:type="spellStart"/>
      <w:r w:rsidRPr="00EF53B4">
        <w:rPr>
          <w:lang w:val="pt-BR"/>
        </w:rPr>
        <w:t>bootstrap</w:t>
      </w:r>
      <w:proofErr w:type="spellEnd"/>
      <w:r w:rsidRPr="00EF53B4">
        <w:rPr>
          <w:lang w:val="pt-BR"/>
        </w:rPr>
        <w:t xml:space="preserve"> adequado a amostras com poucos grupos tratados. Como a distribuição de vários indicadores é assimétrica, a mediana condicional e as regressões </w:t>
      </w:r>
      <w:proofErr w:type="spellStart"/>
      <w:r w:rsidRPr="00EF53B4">
        <w:rPr>
          <w:lang w:val="pt-BR"/>
        </w:rPr>
        <w:t>quantílicas</w:t>
      </w:r>
      <w:proofErr w:type="spellEnd"/>
      <w:r w:rsidRPr="00EF53B4">
        <w:rPr>
          <w:lang w:val="pt-BR"/>
        </w:rPr>
        <w:t xml:space="preserve"> são apresentadas ao lado da média.</w:t>
      </w:r>
    </w:p>
    <w:p w:rsidRPr="00EF53B4" w:rsidR="00EF53B4" w:rsidP="00BB4884" w:rsidRDefault="00EF53B4" w14:paraId="79FE3E07" w14:textId="77777777">
      <w:pPr>
        <w:spacing w:after="120"/>
        <w:ind w:firstLine="720"/>
        <w:jc w:val="both"/>
        <w:rPr>
          <w:lang w:val="pt-BR"/>
        </w:rPr>
      </w:pPr>
      <w:r w:rsidRPr="00EF53B4">
        <w:rPr>
          <w:lang w:val="pt-BR"/>
        </w:rPr>
        <w:t xml:space="preserve">Dois ajustes foram feitos nos dados do </w:t>
      </w:r>
      <w:proofErr w:type="spellStart"/>
      <w:r w:rsidRPr="00EF53B4">
        <w:rPr>
          <w:lang w:val="pt-BR"/>
        </w:rPr>
        <w:t>IF.data</w:t>
      </w:r>
      <w:proofErr w:type="spellEnd"/>
      <w:r w:rsidRPr="00EF53B4">
        <w:rPr>
          <w:lang w:val="pt-BR"/>
        </w:rPr>
        <w:t>. As contas de resultado são acumuladas dentro do semestre, porque as instituições levantam balanço em junho e dezembro; os valores foram desacumulados e anualizados. O resultado de intermediação financeira é informado líquido das despesas de provisão para créditos de liquidação duvidosa e foi recomposto antes dessas despesas, para que a margem e o índice de eficiência não reproduzam o resultado de provisão sob outra denominação. Os níveis desacumulados coincidem com os dados publicados pelo Banco Central: o retorno anualizado mediano das cooperativas singulares do painel é de 2,9% em 2023 e de 2,5% em 2024, contra 2,9% e 2,4% no Panorama do Sistema Nacional de Crédito Cooperativo.</w:t>
      </w:r>
    </w:p>
    <w:p w:rsidR="005179BD" w:rsidP="00BB4884" w:rsidRDefault="00EF53B4" w14:paraId="18DD05F9" w14:textId="299E97FE">
      <w:pPr>
        <w:spacing w:after="120"/>
        <w:ind w:firstLine="720"/>
        <w:jc w:val="both"/>
        <w:rPr>
          <w:lang w:val="pt-BR"/>
        </w:rPr>
      </w:pPr>
      <w:r w:rsidRPr="00EF53B4">
        <w:rPr>
          <w:lang w:val="pt-BR"/>
        </w:rPr>
        <w:t>Cada indicador recebe uma classificação segundo regra explícita. O resultado é considerado nulo quando a diferença não é significativa, com o mesmo sinal, nas quatro especificações. É considerado estável quando se mantém significativo sob todas as regras de tratamento de valores extremos, varia menos que o dobro entre elas e conserva, entre o 20º e o 80º percentil, ao menos metade da magnitude estimada na média. Nos demais casos, é estável apenas no sinal: a direção da diferença se mantém, mas a magnitude depende das caudas da distribuição.</w:t>
      </w:r>
    </w:p>
    <w:p w:rsidR="00EF53B4" w:rsidRDefault="00EF53B4" w14:paraId="111A6A32" w14:textId="77777777">
      <w:pPr>
        <w:spacing w:line="240" w:lineRule="auto"/>
        <w:rPr>
          <w:rFonts w:ascii="Tahoma" w:hAnsi="Tahoma" w:eastAsiaTheme="majorEastAsia" w:cstheme="majorBidi"/>
          <w:b/>
          <w:color w:val="003974"/>
          <w:sz w:val="28"/>
          <w:szCs w:val="32"/>
          <w:lang w:val="pt-BR"/>
        </w:rPr>
      </w:pPr>
      <w:r>
        <w:rPr>
          <w:lang w:val="pt-BR"/>
        </w:rPr>
        <w:br w:type="page"/>
      </w:r>
    </w:p>
    <w:p w:rsidRPr="00DA7035" w:rsidR="00EF53B4" w:rsidP="00EF53B4" w:rsidRDefault="00EF53B4" w14:paraId="560B9ED8" w14:textId="63211D27">
      <w:pPr>
        <w:pStyle w:val="Ttulo1"/>
        <w:rPr>
          <w:lang w:val="pt-BR"/>
        </w:rPr>
      </w:pPr>
      <w:r>
        <w:rPr>
          <w:lang w:val="pt-BR"/>
        </w:rPr>
        <w:lastRenderedPageBreak/>
        <w:t xml:space="preserve">PARTE </w:t>
      </w:r>
      <w:r>
        <w:rPr>
          <w:lang w:val="pt-BR"/>
        </w:rPr>
        <w:t>3</w:t>
      </w:r>
      <w:r>
        <w:rPr>
          <w:lang w:val="pt-BR"/>
        </w:rPr>
        <w:t xml:space="preserve">. </w:t>
      </w:r>
      <w:r>
        <w:rPr>
          <w:lang w:val="pt-BR"/>
        </w:rPr>
        <w:t>RESULTADOS</w:t>
      </w:r>
    </w:p>
    <w:p w:rsidRPr="00DA7035" w:rsidR="00EF53B4" w:rsidP="00EF53B4" w:rsidRDefault="00EF53B4" w14:paraId="16D9B769" w14:textId="7A0E3AB6">
      <w:pPr>
        <w:pStyle w:val="Ttulo2"/>
        <w:rPr>
          <w:lang w:val="pt-BR"/>
        </w:rPr>
      </w:pPr>
      <w:r>
        <w:rPr>
          <w:lang w:val="pt-BR"/>
        </w:rPr>
        <w:t>PERFIL DAS COOPERATIVAS</w:t>
      </w:r>
    </w:p>
    <w:p w:rsidRPr="00F675F5" w:rsidR="00746909" w:rsidP="00BB4884" w:rsidRDefault="00746909" w14:paraId="135D6821" w14:textId="77777777">
      <w:pPr>
        <w:spacing w:after="120"/>
        <w:ind w:firstLine="720"/>
        <w:jc w:val="both"/>
        <w:rPr>
          <w:lang w:val="pt-BR"/>
        </w:rPr>
      </w:pPr>
      <w:r>
        <w:rPr>
          <w:lang w:val="pt-BR"/>
        </w:rPr>
        <w:t xml:space="preserve">Cinco dos nove indicadores trimestrais mantêm sinal e significância nas quatro especificações e em todas as regras de tratamento de valores extremos. Em porte comparável, as cooperativas destinam às operações de crédito uma parcela do ativo cerca de um quinto maior que a dos bancos, e a diferença é ainda maior na mediana. As cooperativas operam com custo menor, embora a magnitude dessa diferença dependa dos valores extremos, já que o denominador do índice se aproxima de zero em bancos com pouca intermediação. A mediana condicional, cujo intervalo de confiança exclui zero, é a medida mais confiável.</w:t>
      </w:r>
    </w:p>
    <w:p>
      <w:pPr>
        <w:spacing w:after="120"/>
        <w:ind w:firstLine="720"/>
        <w:jc w:val="both"/>
        <w:rPr>
          <w:lang w:val="pt-BR"/>
        </w:rPr>
      </w:pPr>
      <w:r>
        <w:rPr>
          <w:lang w:val="pt-BR"/>
        </w:rPr>
        <w:t xml:space="preserve">A rentabilidade se divide em dois canais, e a Tabela 1 traz os dois. Antes dos tributos, a diferença de retorno sobre o ativo é positiva nas quatro especificações, mas significativa apenas nas duas primeiras, e por isso é classificada como nula: em termos operacionais, as maiores cooperativas ganham aproximadamente o que ganham os bancos de mesmo porte, sobre uma margem de intermediação que não difere da deles. Depois dos tributos, a diferença é de cerca de dois pontos percentuais com controle de porte, significativa em todas as especificações e estável. A distância entre as duas linhas é a isenção do ato cooperativo: entre os trimestres com resultado positivo antes dos tributos, a alíquota efetiva mediana de IRPJ e CSLL é de cerca de um terço para os bancos e próxima de zero para as cooperativas, e a diferença antes dos tributos equivale a cerca de três quintos da diferença depois deles. A linha após impostos mede o que a cooperativa retém, o retorno que se acumula como capital; a linha antes dos impostos é a comparação operacional.</w:t>
      </w:r>
    </w:p>
    <w:p w:rsidRPr="00F675F5" w:rsidR="00746909" w:rsidP="00BB4884" w:rsidRDefault="00746909" w14:paraId="01706CCB" w14:textId="77777777">
      <w:pPr>
        <w:spacing w:after="120"/>
        <w:ind w:firstLine="720"/>
        <w:jc w:val="both"/>
        <w:rPr>
          <w:lang w:val="pt-BR"/>
        </w:rPr>
      </w:pPr>
      <w:r w:rsidRPr="00F675F5">
        <w:rPr>
          <w:lang w:val="pt-BR"/>
        </w:rPr>
        <w:t>Os retornos das cooperativas também oscilam menos. Em porte comparável, o desvio-padrão do ROA é menor e o z-score é maior, nas quatro especificações e em todos os grupos nacionais de comparação. O quadro é de retorno líquido mais alto e mais estável, obtido sobre a mesma margem de intermediação. Os tributos também comprimem a volatilidade dos retornos líquidos dos bancos, de modo que a comparação após impostos tende a subestimar a diferença de estabilidade. Antes da tributação, a diferença de z-score é maior e a diferença mediana de volatilidade do ROA quase dobra; a diferença média de volatilidade é menor, e ambas mantêm sinal e significância.</w:t>
      </w:r>
    </w:p>
    <w:p w:rsidRPr="00F675F5" w:rsidR="00746909" w:rsidP="00746909" w:rsidRDefault="00746909" w14:paraId="510A6111" w14:textId="77777777">
      <w:pPr>
        <w:keepNext/>
        <w:keepLines/>
        <w:spacing w:before="60" w:after="60" w:line="264" w:lineRule="auto"/>
        <w:jc w:val="center"/>
        <w:rPr>
          <w:lang w:val="pt-BR"/>
        </w:rPr>
      </w:pPr>
      <w:r w:rsidRPr="00F675F5">
        <w:rPr>
          <w:b/>
          <w:bCs/>
          <w:sz w:val="18"/>
          <w:szCs w:val="18"/>
          <w:lang w:val="pt-BR"/>
        </w:rPr>
        <w:t xml:space="preserve">Tabela 1. </w:t>
      </w:r>
      <w:r w:rsidRPr="00F675F5">
        <w:rPr>
          <w:sz w:val="18"/>
          <w:szCs w:val="18"/>
          <w:lang w:val="pt-BR"/>
        </w:rPr>
        <w:t>Diferença entre cooperativas e bancos em quatro especificações</w:t>
      </w:r>
    </w:p>
    <w:tbl>
      <w:tblPr>
        <w:tblW w:w="9638" w:type="dxa"/>
        <w:jc w:val="center"/>
        <w:tblBorders>
          <w:top w:val="single" w:sz="4" w:space="0" w:color="A6A6A6"/>
          <w:bottom w:val="single" w:sz="4" w:space="0" w:color="A6A6A6"/>
          <w:insideH w:val="single" w:sz="4" w:space="0" w:color="A6A6A6"/>
          <w:left w:val="nil"/>
          <w:right w:val="nil"/>
          <w:insideV w:val="nil"/>
        </w:tblBorders>
        <w:tblLayout w:type="fixed"/>
        <w:tblCellMar>
          <w:left w:w="57" w:type="dxa"/>
          <w:right w:w="57" w:type="dxa"/>
        </w:tblCellMar>
        <w:tblLook w:val="0000" w:firstRow="0" w:lastRow="0" w:firstColumn="0" w:lastColumn="0" w:noHBand="0" w:noVBand="0"/>
      </w:tblPr>
      <w:tblGrid>
        <w:gridCol w:w="1750"/>
        <w:gridCol w:w="1200"/>
        <w:gridCol w:w="1200"/>
        <w:gridCol w:w="1200"/>
        <w:gridCol w:w="1200"/>
        <w:gridCol w:w="1000"/>
        <w:gridCol w:w="2088"/>
      </w:tblGrid>
      <w:tr>
        <w:trPr>
          <w:tblHeader/>
        </w:trPr>
        <w:tc>
          <w:tcPr>
            <w:tcW w:w="1750" w:type="dxa"/>
            <w:shd w:val="clear" w:color="auto" w:fill="DCE6F1"/>
            <w:vAlign w:val="center"/>
          </w:tcPr>
          <w:p>
            <w:pPr>
              <w:keepNext/>
              <w:keepLines/>
              <w:spacing w:before="30" w:after="30" w:line="240" w:lineRule="auto"/>
              <w:ind w:firstLine="0"/>
              <w:jc w:val="left"/>
            </w:pPr>
            <w:r>
              <w:rPr>
                <w:b/>
                <w:bCs/>
                <w:sz w:val="16"/>
                <w:szCs w:val="16"/>
              </w:rPr>
              <w:t xml:space="preserve">Indicador</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(1) Sem controles</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(2) Porte e trimestre</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(3) Pareado</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(4) Suporte comum</w:t>
            </w:r>
          </w:p>
        </w:tc>
        <w:tc>
          <w:tcPr>
            <w:tcW w:w="1000" w:type="dxa"/>
            <w:shd w:val="clear" w:color="auto" w:fill="DCE6F1"/>
            <w:vAlign w:val="center"/>
          </w:tcPr>
          <w:p>
            <w:pPr>
              <w:keepNext/>
              <w:keepLines/>
              <w:spacing w:before="30" w:after="30" w:line="240" w:lineRule="auto"/>
              <w:ind w:firstLine="0"/>
              <w:jc w:val="right"/>
            </w:pPr>
            <w:r>
              <w:rPr>
                <w:b/>
                <w:bCs/>
                <w:sz w:val="16"/>
                <w:szCs w:val="16"/>
              </w:rPr>
              <w:t xml:space="preserve">Mediana (2)</w:t>
            </w:r>
          </w:p>
        </w:tc>
        <w:tc>
          <w:tcPr>
            <w:tcW w:w="2088" w:type="dxa"/>
            <w:shd w:val="clear" w:color="auto" w:fill="DCE6F1"/>
            <w:vAlign w:val="center"/>
          </w:tcPr>
          <w:p>
            <w:pPr>
              <w:keepNext/>
              <w:keepLines/>
              <w:spacing w:before="30" w:after="30" w:line="240" w:lineRule="auto"/>
              <w:ind w:firstLine="0"/>
              <w:jc w:val="left"/>
            </w:pPr>
            <w:r>
              <w:rPr>
                <w:b/>
                <w:bCs/>
                <w:sz w:val="16"/>
                <w:szCs w:val="16"/>
              </w:rPr>
              <w:t xml:space="preserve">Classificação</w:t>
            </w:r>
          </w:p>
        </w:tc>
      </w:tr>
      <w:tr>
        <w:trPr>
          <w:cantSplit/>
        </w:trPr>
        <w:tc>
          <w:tcPr>
            <w:tcW w:w="1750" w:type="dxa"/>
            <w:vAlign w:val="center"/>
          </w:tcPr>
          <w:p>
            <w:pPr>
              <w:keepNext/>
              <w:keepLines/>
              <w:spacing w:before="30" w:after="30" w:line="240" w:lineRule="auto"/>
              <w:ind w:firstLine="0"/>
              <w:jc w:val="left"/>
            </w:pPr>
            <w:r>
              <w:rPr>
                <w:sz w:val="16"/>
                <w:szCs w:val="16"/>
              </w:rPr>
              <w:t xml:space="preserve">Índice de Basileia (p.p.)</w:t>
            </w:r>
          </w:p>
        </w:tc>
        <w:tc>
          <w:tcPr>
            <w:tcW w:w="1200" w:type="dxa"/>
            <w:vAlign w:val="center"/>
          </w:tcPr>
          <w:p>
            <w:pPr>
              <w:keepNext/>
              <w:keepLines/>
              <w:spacing w:before="30" w:after="30" w:line="240" w:lineRule="auto"/>
              <w:ind w:firstLine="0"/>
              <w:jc w:val="right"/>
            </w:pPr>
            <w:r>
              <w:rPr>
                <w:sz w:val="16"/>
                <w:szCs w:val="16"/>
              </w:rPr>
              <w:t xml:space="preserve">−8,19</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−15,77</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−17,50</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−14,21</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−2,18</w:t>
            </w:r>
          </w:p>
        </w:tc>
        <w:tc>
          <w:tcPr>
            <w:tcW w:w="2088" w:type="dxa"/>
            <w:vAlign w:val="center"/>
          </w:tcPr>
          <w:p>
            <w:pPr>
              <w:keepNext/>
              <w:keepLines/>
              <w:spacing w:before="30" w:after="30" w:line="240" w:lineRule="auto"/>
              <w:ind w:firstLine="0"/>
              <w:jc w:val="left"/>
            </w:pPr>
            <w:r>
              <w:rPr>
                <w:sz w:val="16"/>
                <w:szCs w:val="16"/>
              </w:rPr>
              <w:t xml:space="preserve">estável no sinal</w:t>
            </w:r>
          </w:p>
        </w:tc>
      </w:tr>
      <w:tr>
        <w:trPr>
          <w:cantSplit/>
        </w:trPr>
        <w:tc>
          <w:tcPr>
            <w:tcW w:w="1750" w:type="dxa"/>
            <w:vAlign w:val="center"/>
          </w:tcPr>
          <w:p>
            <w:pPr>
              <w:keepNext/>
              <w:keepLines/>
              <w:spacing w:before="30" w:after="30" w:line="240" w:lineRule="auto"/>
              <w:ind w:firstLine="0"/>
              <w:jc w:val="left"/>
            </w:pPr>
            <w:r>
              <w:rPr>
                <w:sz w:val="16"/>
                <w:szCs w:val="16"/>
              </w:rPr>
              <w:t xml:space="preserve">Alavancagem</w:t>
            </w:r>
          </w:p>
        </w:tc>
        <w:tc>
          <w:tcPr>
            <w:tcW w:w="1200" w:type="dxa"/>
            <w:vAlign w:val="center"/>
          </w:tcPr>
          <w:p>
            <w:pPr>
              <w:keepNext/>
              <w:keepLines/>
              <w:spacing w:before="30" w:after="30" w:line="240" w:lineRule="auto"/>
              <w:ind w:firstLine="0"/>
              <w:jc w:val="right"/>
            </w:pPr>
            <w:r>
              <w:rPr>
                <w:sz w:val="16"/>
                <w:szCs w:val="16"/>
              </w:rPr>
              <w:t xml:space="preserve">0,0561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0,1220</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0,1046</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0,0813</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0,0283</w:t>
            </w:r>
          </w:p>
        </w:tc>
        <w:tc>
          <w:tcPr>
            <w:tcW w:w="2088" w:type="dxa"/>
            <w:vAlign w:val="center"/>
          </w:tcPr>
          <w:p>
            <w:pPr>
              <w:keepNext/>
              <w:keepLines/>
              <w:spacing w:before="30" w:after="30" w:line="240" w:lineRule="auto"/>
              <w:ind w:firstLine="0"/>
              <w:jc w:val="left"/>
            </w:pPr>
            <w:r>
              <w:rPr>
                <w:sz w:val="16"/>
                <w:szCs w:val="16"/>
              </w:rPr>
              <w:t xml:space="preserve">estável no sinal</w:t>
            </w:r>
          </w:p>
        </w:tc>
      </w:tr>
      <w:tr>
        <w:trPr>
          <w:cantSplit/>
        </w:trPr>
        <w:tc>
          <w:tcPr>
            <w:tcW w:w="1750" w:type="dxa"/>
            <w:vAlign w:val="center"/>
          </w:tcPr>
          <w:p>
            <w:pPr>
              <w:keepNext/>
              <w:keepLines/>
              <w:spacing w:before="30" w:after="30" w:line="240" w:lineRule="auto"/>
              <w:ind w:firstLine="0"/>
              <w:jc w:val="left"/>
            </w:pPr>
            <w:r>
              <w:rPr>
                <w:sz w:val="16"/>
                <w:szCs w:val="16"/>
              </w:rPr>
              <w:t xml:space="preserve">Retorno sobre o ativo, após tributos</w:t>
            </w:r>
          </w:p>
        </w:tc>
        <w:tc>
          <w:tcPr>
            <w:tcW w:w="1200" w:type="dxa"/>
            <w:vAlign w:val="center"/>
          </w:tcPr>
          <w:p>
            <w:pPr>
              <w:keepNext/>
              <w:keepLines/>
              <w:spacing w:before="30" w:after="30" w:line="240" w:lineRule="auto"/>
              <w:ind w:firstLine="0"/>
              <w:jc w:val="right"/>
            </w:pPr>
            <w:r>
              <w:rPr>
                <w:sz w:val="16"/>
                <w:szCs w:val="16"/>
              </w:rPr>
              <w:t xml:space="preserve">0,0181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0,0215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0,0179</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0,0159</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0,0171</w:t>
            </w:r>
          </w:p>
        </w:tc>
        <w:tc>
          <w:tcPr>
            <w:tcW w:w="2088" w:type="dxa"/>
            <w:vAlign w:val="center"/>
          </w:tcPr>
          <w:p>
            <w:pPr>
              <w:keepNext/>
              <w:keepLines/>
              <w:spacing w:before="30" w:after="30" w:line="240" w:lineRule="auto"/>
              <w:ind w:firstLine="0"/>
              <w:jc w:val="left"/>
            </w:pPr>
            <w:r>
              <w:rPr>
                <w:sz w:val="16"/>
                <w:szCs w:val="16"/>
              </w:rPr>
              <w:t xml:space="preserve">estável</w:t>
            </w:r>
          </w:p>
        </w:tc>
      </w:tr>
      <w:tr>
        <w:trPr>
          <w:cantSplit/>
        </w:trPr>
        <w:tc>
          <w:tcPr>
            <w:tcW w:w="1750" w:type="dxa"/>
            <w:vAlign w:val="center"/>
          </w:tcPr>
          <w:p>
            <w:pPr>
              <w:keepNext/>
              <w:keepLines/>
              <w:spacing w:before="30" w:after="30" w:line="240" w:lineRule="auto"/>
              <w:ind w:firstLine="0"/>
              <w:jc w:val="left"/>
            </w:pPr>
            <w:r>
              <w:rPr>
                <w:sz w:val="16"/>
                <w:szCs w:val="16"/>
              </w:rPr>
              <w:t xml:space="preserve">Retorno sobre o ativo, antes dos tributos</w:t>
            </w:r>
          </w:p>
        </w:tc>
        <w:tc>
          <w:tcPr>
            <w:tcW w:w="1200" w:type="dxa"/>
            <w:vAlign w:val="center"/>
          </w:tcPr>
          <w:p>
            <w:pPr>
              <w:keepNext/>
              <w:keepLines/>
              <w:spacing w:before="30" w:after="30" w:line="240" w:lineRule="auto"/>
              <w:ind w:firstLine="0"/>
              <w:jc w:val="right"/>
            </w:pPr>
            <w:r>
              <w:rPr>
                <w:sz w:val="16"/>
                <w:szCs w:val="16"/>
              </w:rPr>
              <w:t xml:space="preserve">0,0118</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0,0132</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0,0088</w:t>
            </w:r>
          </w:p>
        </w:tc>
        <w:tc>
          <w:tcPr>
            <w:tcW w:w="1200" w:type="dxa"/>
            <w:vAlign w:val="center"/>
          </w:tcPr>
          <w:p>
            <w:pPr>
              <w:keepNext/>
              <w:keepLines/>
              <w:spacing w:before="30" w:after="30" w:line="240" w:lineRule="auto"/>
              <w:ind w:firstLine="0"/>
              <w:jc w:val="right"/>
            </w:pPr>
            <w:r>
              <w:rPr>
                <w:sz w:val="16"/>
                <w:szCs w:val="16"/>
              </w:rPr>
              <w:t xml:space="preserve">0,0062</w:t>
            </w:r>
          </w:p>
        </w:tc>
        <w:tc>
          <w:tcPr>
            <w:tcW w:w="1000" w:type="dxa"/>
            <w:vAlign w:val="center"/>
          </w:tcPr>
          <w:p>
            <w:pPr>
              <w:keepNext/>
              <w:keepLines/>
              <w:spacing w:before="30" w:after="30" w:line="240" w:lineRule="auto"/>
              <w:ind w:firstLine="0"/>
              <w:jc w:val="right"/>
            </w:pPr>
            <w:r>
              <w:rPr>
                <w:sz w:val="16"/>
                <w:szCs w:val="16"/>
              </w:rPr>
              <w:t xml:space="preserve">0,0144</w:t>
            </w:r>
          </w:p>
        </w:tc>
        <w:tc>
          <w:tcPr>
            <w:tcW w:w="2088" w:type="dxa"/>
            <w:vAlign w:val="center"/>
          </w:tcPr>
          <w:p>
            <w:pPr>
              <w:keepNext/>
              <w:keepLines/>
              <w:spacing w:before="30" w:after="30" w:line="240" w:lineRule="auto"/>
              <w:ind w:firstLine="0"/>
              <w:jc w:val="left"/>
            </w:pPr>
            <w:r>
              <w:rPr>
                <w:sz w:val="16"/>
                <w:szCs w:val="16"/>
              </w:rPr>
              <w:t xml:space="preserve">nulo</w:t>
            </w:r>
          </w:p>
        </w:tc>
      </w:tr>
      <w:tr>
        <w:trPr>
          <w:cantSplit/>
        </w:trPr>
        <w:tc>
          <w:tcPr>
            <w:tcW w:w="1750" w:type="dxa"/>
            <w:vAlign w:val="center"/>
          </w:tcPr>
          <w:p>
            <w:pPr>
              <w:keepNext/>
              <w:keepLines/>
              <w:spacing w:before="30" w:after="30" w:line="240" w:lineRule="auto"/>
              <w:ind w:firstLine="0"/>
              <w:jc w:val="left"/>
            </w:pPr>
            <w:r>
              <w:rPr>
                <w:sz w:val="16"/>
                <w:szCs w:val="16"/>
              </w:rPr>
              <w:t xml:space="preserve">Índice de eficiência</w:t>
            </w:r>
          </w:p>
        </w:tc>
        <w:tc>
          <w:tcPr>
            <w:tcW w:w="1200" w:type="dxa"/>
            <w:vAlign w:val="center"/>
          </w:tcPr>
          <w:p>
            <w:pPr>
              <w:keepNext/>
              <w:keepLines/>
              <w:spacing w:before="30" w:after="30" w:line="240" w:lineRule="auto"/>
              <w:ind w:firstLine="0"/>
              <w:jc w:val="right"/>
            </w:pPr>
            <w:r>
              <w:rPr>
                <w:sz w:val="16"/>
                <w:szCs w:val="16"/>
              </w:rPr>
              <w:t xml:space="preserve">−0,6025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−0,7923</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−0,8385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−0,7522</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−0,1796</w:t>
            </w:r>
          </w:p>
        </w:tc>
        <w:tc>
          <w:tcPr>
            <w:tcW w:w="2088" w:type="dxa"/>
            <w:vAlign w:val="center"/>
          </w:tcPr>
          <w:p>
            <w:pPr>
              <w:keepNext/>
              <w:keepLines/>
              <w:spacing w:before="30" w:after="30" w:line="240" w:lineRule="auto"/>
              <w:ind w:firstLine="0"/>
              <w:jc w:val="left"/>
            </w:pPr>
            <w:r>
              <w:rPr>
                <w:sz w:val="16"/>
                <w:szCs w:val="16"/>
              </w:rPr>
              <w:t xml:space="preserve">estável no sinal</w:t>
            </w:r>
          </w:p>
        </w:tc>
      </w:tr>
      <w:tr>
        <w:trPr>
          <w:cantSplit/>
        </w:trPr>
        <w:tc>
          <w:tcPr>
            <w:tcW w:w="1750" w:type="dxa"/>
            <w:vAlign w:val="center"/>
          </w:tcPr>
          <w:p>
            <w:pPr>
              <w:keepNext/>
              <w:keepLines/>
              <w:spacing w:before="30" w:after="30" w:line="240" w:lineRule="auto"/>
              <w:ind w:firstLine="0"/>
              <w:jc w:val="left"/>
            </w:pPr>
            <w:r>
              <w:rPr>
                <w:sz w:val="16"/>
                <w:szCs w:val="16"/>
              </w:rPr>
              <w:t xml:space="preserve">Operações de crédito / ativo</w:t>
            </w:r>
          </w:p>
        </w:tc>
        <w:tc>
          <w:tcPr>
            <w:tcW w:w="1200" w:type="dxa"/>
            <w:vAlign w:val="center"/>
          </w:tcPr>
          <w:p>
            <w:pPr>
              <w:keepNext/>
              <w:keepLines/>
              <w:spacing w:before="30" w:after="30" w:line="240" w:lineRule="auto"/>
              <w:ind w:firstLine="0"/>
              <w:jc w:val="right"/>
            </w:pPr>
            <w:r>
              <w:rPr>
                <w:sz w:val="16"/>
                <w:szCs w:val="16"/>
              </w:rPr>
              <w:t xml:space="preserve">0,1654</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0,1881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0,1701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0,1780</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0,2448</w:t>
            </w:r>
          </w:p>
        </w:tc>
        <w:tc>
          <w:tcPr>
            <w:tcW w:w="2088" w:type="dxa"/>
            <w:vAlign w:val="center"/>
          </w:tcPr>
          <w:p>
            <w:pPr>
              <w:keepNext/>
              <w:keepLines/>
              <w:spacing w:before="30" w:after="30" w:line="240" w:lineRule="auto"/>
              <w:ind w:firstLine="0"/>
              <w:jc w:val="left"/>
            </w:pPr>
            <w:r>
              <w:rPr>
                <w:sz w:val="16"/>
                <w:szCs w:val="16"/>
              </w:rPr>
              <w:t xml:space="preserve">estável</w:t>
            </w:r>
          </w:p>
        </w:tc>
      </w:tr>
      <w:tr>
        <w:trPr>
          <w:cantSplit/>
        </w:trPr>
        <w:tc>
          <w:tcPr>
            <w:tcW w:w="1750" w:type="dxa"/>
            <w:vAlign w:val="center"/>
          </w:tcPr>
          <w:p>
            <w:pPr>
              <w:keepNext/>
              <w:keepLines/>
              <w:spacing w:before="30" w:after="30" w:line="240" w:lineRule="auto"/>
              <w:ind w:firstLine="0"/>
              <w:jc w:val="left"/>
            </w:pPr>
            <w:r>
              <w:rPr>
                <w:sz w:val="16"/>
                <w:szCs w:val="16"/>
              </w:rPr>
              <w:t xml:space="preserve">Provisão / carteira</w:t>
            </w:r>
          </w:p>
        </w:tc>
        <w:tc>
          <w:tcPr>
            <w:tcW w:w="1200" w:type="dxa"/>
            <w:vAlign w:val="center"/>
          </w:tcPr>
          <w:p>
            <w:pPr>
              <w:keepNext/>
              <w:keepLines/>
              <w:spacing w:before="30" w:after="30" w:line="240" w:lineRule="auto"/>
              <w:ind w:firstLine="0"/>
              <w:jc w:val="right"/>
            </w:pPr>
            <w:r>
              <w:rPr>
                <w:sz w:val="16"/>
                <w:szCs w:val="16"/>
              </w:rPr>
              <w:t xml:space="preserve">0,0020</w:t>
            </w:r>
          </w:p>
        </w:tc>
        <w:tc>
          <w:tcPr>
            <w:tcW w:w="1200" w:type="dxa"/>
            <w:vAlign w:val="center"/>
          </w:tcPr>
          <w:p>
            <w:pPr>
              <w:keepNext/>
              <w:keepLines/>
              <w:spacing w:before="30" w:after="30" w:line="240" w:lineRule="auto"/>
              <w:ind w:firstLine="0"/>
              <w:jc w:val="right"/>
            </w:pPr>
            <w:r>
              <w:rPr>
                <w:sz w:val="16"/>
                <w:szCs w:val="16"/>
              </w:rPr>
              <w:t xml:space="preserve">−0,0012</w:t>
            </w:r>
          </w:p>
        </w:tc>
        <w:tc>
          <w:tcPr>
            <w:tcW w:w="1200" w:type="dxa"/>
            <w:vAlign w:val="center"/>
          </w:tcPr>
          <w:p>
            <w:pPr>
              <w:keepNext/>
              <w:keepLines/>
              <w:spacing w:before="30" w:after="30" w:line="240" w:lineRule="auto"/>
              <w:ind w:firstLine="0"/>
              <w:jc w:val="right"/>
            </w:pPr>
            <w:r>
              <w:rPr>
                <w:sz w:val="16"/>
                <w:szCs w:val="16"/>
              </w:rPr>
              <w:t xml:space="preserve">0,0010</w:t>
            </w:r>
          </w:p>
        </w:tc>
        <w:tc>
          <w:tcPr>
            <w:tcW w:w="1200" w:type="dxa"/>
            <w:vAlign w:val="center"/>
          </w:tcPr>
          <w:p>
            <w:pPr>
              <w:keepNext/>
              <w:keepLines/>
              <w:spacing w:before="30" w:after="30" w:line="240" w:lineRule="auto"/>
              <w:ind w:firstLine="0"/>
              <w:jc w:val="right"/>
            </w:pPr>
            <w:r>
              <w:rPr>
                <w:sz w:val="16"/>
                <w:szCs w:val="16"/>
              </w:rPr>
              <w:t xml:space="preserve">0,0009</w:t>
            </w:r>
          </w:p>
        </w:tc>
        <w:tc>
          <w:tcPr>
            <w:tcW w:w="1000" w:type="dxa"/>
            <w:vAlign w:val="center"/>
          </w:tcPr>
          <w:p>
            <w:pPr>
              <w:keepNext/>
              <w:keepLines/>
              <w:spacing w:before="30" w:after="30" w:line="240" w:lineRule="auto"/>
              <w:ind w:firstLine="0"/>
              <w:jc w:val="right"/>
            </w:pPr>
            <w:r>
              <w:rPr>
                <w:sz w:val="16"/>
                <w:szCs w:val="16"/>
              </w:rPr>
              <w:t xml:space="preserve">0,0236</w:t>
            </w:r>
          </w:p>
        </w:tc>
        <w:tc>
          <w:tcPr>
            <w:tcW w:w="2088" w:type="dxa"/>
            <w:vAlign w:val="center"/>
          </w:tcPr>
          <w:p>
            <w:pPr>
              <w:keepNext/>
              <w:keepLines/>
              <w:spacing w:before="30" w:after="30" w:line="240" w:lineRule="auto"/>
              <w:ind w:firstLine="0"/>
              <w:jc w:val="left"/>
            </w:pPr>
            <w:r>
              <w:rPr>
                <w:sz w:val="16"/>
                <w:szCs w:val="16"/>
              </w:rPr>
              <w:t xml:space="preserve">nulo</w:t>
            </w:r>
          </w:p>
        </w:tc>
      </w:tr>
      <w:tr>
        <w:trPr>
          <w:cantSplit/>
        </w:trPr>
        <w:tc>
          <w:tcPr>
            <w:tcW w:w="1750" w:type="dxa"/>
            <w:vAlign w:val="center"/>
          </w:tcPr>
          <w:p>
            <w:pPr>
              <w:keepNext/>
              <w:keepLines/>
              <w:spacing w:before="30" w:after="30" w:line="240" w:lineRule="auto"/>
              <w:ind w:firstLine="0"/>
              <w:jc w:val="left"/>
            </w:pPr>
            <w:r>
              <w:rPr>
                <w:sz w:val="16"/>
                <w:szCs w:val="16"/>
              </w:rPr>
              <w:t xml:space="preserve">Margem de intermediação</w:t>
            </w:r>
          </w:p>
        </w:tc>
        <w:tc>
          <w:tcPr>
            <w:tcW w:w="1200" w:type="dxa"/>
            <w:vAlign w:val="center"/>
          </w:tcPr>
          <w:p>
            <w:pPr>
              <w:keepNext/>
              <w:keepLines/>
              <w:spacing w:before="30" w:after="30" w:line="240" w:lineRule="auto"/>
              <w:ind w:firstLine="0"/>
              <w:jc w:val="right"/>
            </w:pPr>
            <w:r>
              <w:rPr>
                <w:sz w:val="16"/>
                <w:szCs w:val="16"/>
              </w:rPr>
              <w:t xml:space="preserve">−0,0003</w:t>
            </w:r>
          </w:p>
        </w:tc>
        <w:tc>
          <w:tcPr>
            <w:tcW w:w="1200" w:type="dxa"/>
            <w:vAlign w:val="center"/>
          </w:tcPr>
          <w:p>
            <w:pPr>
              <w:keepNext/>
              <w:keepLines/>
              <w:spacing w:before="30" w:after="30" w:line="240" w:lineRule="auto"/>
              <w:ind w:firstLine="0"/>
              <w:jc w:val="right"/>
            </w:pPr>
            <w:r>
              <w:rPr>
                <w:sz w:val="16"/>
                <w:szCs w:val="16"/>
              </w:rPr>
              <w:t xml:space="preserve">−0,0190</w:t>
            </w:r>
          </w:p>
        </w:tc>
        <w:tc>
          <w:tcPr>
            <w:tcW w:w="1200" w:type="dxa"/>
            <w:vAlign w:val="center"/>
          </w:tcPr>
          <w:p>
            <w:pPr>
              <w:keepNext/>
              <w:keepLines/>
              <w:spacing w:before="30" w:after="30" w:line="240" w:lineRule="auto"/>
              <w:ind w:firstLine="0"/>
              <w:jc w:val="right"/>
            </w:pPr>
            <w:r>
              <w:rPr>
                <w:sz w:val="16"/>
                <w:szCs w:val="16"/>
              </w:rPr>
              <w:t xml:space="preserve">−0,0107</w:t>
            </w:r>
          </w:p>
        </w:tc>
        <w:tc>
          <w:tcPr>
            <w:tcW w:w="1200" w:type="dxa"/>
            <w:vAlign w:val="center"/>
          </w:tcPr>
          <w:p>
            <w:pPr>
              <w:keepNext/>
              <w:keepLines/>
              <w:spacing w:before="30" w:after="30" w:line="240" w:lineRule="auto"/>
              <w:ind w:firstLine="0"/>
              <w:jc w:val="right"/>
            </w:pPr>
            <w:r>
              <w:rPr>
                <w:sz w:val="16"/>
                <w:szCs w:val="16"/>
              </w:rPr>
              <w:t xml:space="preserve">−0,0171</w:t>
            </w:r>
          </w:p>
        </w:tc>
        <w:tc>
          <w:tcPr>
            <w:tcW w:w="1000" w:type="dxa"/>
            <w:vAlign w:val="center"/>
          </w:tcPr>
          <w:p>
            <w:pPr>
              <w:keepNext/>
              <w:keepLines/>
              <w:spacing w:before="30" w:after="30" w:line="240" w:lineRule="auto"/>
              <w:ind w:firstLine="0"/>
              <w:jc w:val="right"/>
            </w:pPr>
            <w:r>
              <w:rPr>
                <w:sz w:val="16"/>
                <w:szCs w:val="16"/>
              </w:rPr>
              <w:t xml:space="preserve">0,0203</w:t>
            </w:r>
          </w:p>
        </w:tc>
        <w:tc>
          <w:tcPr>
            <w:tcW w:w="2088" w:type="dxa"/>
            <w:vAlign w:val="center"/>
          </w:tcPr>
          <w:p>
            <w:pPr>
              <w:keepNext/>
              <w:keepLines/>
              <w:spacing w:before="30" w:after="30" w:line="240" w:lineRule="auto"/>
              <w:ind w:firstLine="0"/>
              <w:jc w:val="left"/>
            </w:pPr>
            <w:r>
              <w:rPr>
                <w:sz w:val="16"/>
                <w:szCs w:val="16"/>
              </w:rPr>
              <w:t xml:space="preserve">nulo</w:t>
            </w:r>
          </w:p>
        </w:tc>
      </w:tr>
      <w:tr>
        <w:trPr>
          <w:cantSplit/>
        </w:trPr>
        <w:tc>
          <w:tcPr>
            <w:tcW w:w="1750" w:type="dxa"/>
            <w:tcBorders>
              <w:bottom w:val="single" w:sz="8" w:space="0" w:color="003974"/>
            </w:tcBorders>
            <w:vAlign w:val="center"/>
          </w:tcPr>
          <w:p>
            <w:pPr>
              <w:keepNext/>
              <w:keepLines/>
              <w:spacing w:before="30" w:after="30" w:line="240" w:lineRule="auto"/>
              <w:ind w:firstLine="0"/>
              <w:jc w:val="left"/>
            </w:pPr>
            <w:r>
              <w:rPr>
                <w:sz w:val="16"/>
                <w:szCs w:val="16"/>
              </w:rPr>
              <w:t xml:space="preserve">Captações / ativo</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0,0461</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0,0887</w:t>
            </w:r>
            <w:r>
              <w:rPr>
                <w:sz w:val="16"/>
                <w:szCs w:val="16"/>
                <w:vertAlign w:val="superscript"/>
              </w:rPr>
              <w:t xml:space="preserve">**</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0,0536</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0,0330</w:t>
            </w:r>
          </w:p>
        </w:tc>
        <w:tc>
          <w:tcPr>
            <w:tcW w:w="1000" w:type="dxa"/>
            <w:tcBorders>
              <w:bottom w:val="single" w:sz="8" w:space="0" w:color="003974"/>
            </w:tcBorders>
            <w:vAlign w:val="center"/>
          </w:tcPr>
          <w:p>
            <w:pPr>
              <w:keepNext/>
              <w:keepLines/>
              <w:spacing w:before="30" w:after="30" w:line="240" w:lineRule="auto"/>
              <w:ind w:firstLine="0"/>
              <w:jc w:val="right"/>
            </w:pPr>
            <w:r>
              <w:rPr>
                <w:sz w:val="16"/>
                <w:szCs w:val="16"/>
              </w:rPr>
              <w:t xml:space="preserve">−0,0247</w:t>
            </w:r>
          </w:p>
        </w:tc>
        <w:tc>
          <w:tcPr>
            <w:tcW w:w="2088" w:type="dxa"/>
            <w:tcBorders>
              <w:bottom w:val="single" w:sz="8" w:space="0" w:color="003974"/>
            </w:tcBorders>
            <w:vAlign w:val="center"/>
          </w:tcPr>
          <w:p>
            <w:pPr>
              <w:keepNext/>
              <w:keepLines/>
              <w:spacing w:before="30" w:after="30" w:line="240" w:lineRule="auto"/>
              <w:ind w:firstLine="0"/>
              <w:jc w:val="left"/>
            </w:pPr>
            <w:r>
              <w:rPr>
                <w:sz w:val="16"/>
                <w:szCs w:val="16"/>
              </w:rPr>
              <w:t xml:space="preserve">nulo</w:t>
            </w:r>
          </w:p>
        </w:tc>
      </w:tr>
      <w:tr>
        <w:trPr>
          <w:cantSplit/>
        </w:trPr>
        <w:tc>
          <w:tcPr>
            <w:tcW w:w="1750" w:type="dxa"/>
            <w:vAlign w:val="center"/>
          </w:tcPr>
          <w:p>
            <w:pPr>
              <w:keepNext/>
              <w:keepLines/>
              <w:spacing w:before="30" w:after="30" w:line="240" w:lineRule="auto"/>
              <w:ind w:firstLine="0"/>
              <w:jc w:val="left"/>
            </w:pPr>
            <w:r>
              <w:rPr>
                <w:sz w:val="16"/>
                <w:szCs w:val="16"/>
              </w:rPr>
              <w:t xml:space="preserve">Volatilidade do ROA</w:t>
            </w:r>
          </w:p>
        </w:tc>
        <w:tc>
          <w:tcPr>
            <w:tcW w:w="1200" w:type="dxa"/>
            <w:vAlign w:val="center"/>
          </w:tcPr>
          <w:p>
            <w:pPr>
              <w:keepNext/>
              <w:keepLines/>
              <w:spacing w:before="30" w:after="30" w:line="240" w:lineRule="auto"/>
              <w:ind w:firstLine="0"/>
              <w:jc w:val="right"/>
            </w:pPr>
            <w:r>
              <w:rPr>
                <w:sz w:val="16"/>
                <w:szCs w:val="16"/>
              </w:rPr>
              <w:t xml:space="preserve">−0,0110</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−0,0189</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−0,0175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−0,0170</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−0,0133</w:t>
            </w:r>
          </w:p>
        </w:tc>
        <w:tc>
          <w:tcPr>
            <w:tcW w:w="2088" w:type="dxa"/>
            <w:vAlign w:val="center"/>
          </w:tcPr>
          <w:p>
            <w:pPr>
              <w:keepNext/>
              <w:keepLines/>
              <w:spacing w:before="30" w:after="30" w:line="240" w:lineRule="auto"/>
              <w:ind w:firstLine="0"/>
              <w:jc w:val="left"/>
            </w:pPr>
            <w:r>
              <w:rPr>
                <w:sz w:val="16"/>
                <w:szCs w:val="16"/>
              </w:rPr>
              <w:t xml:space="preserve">estável</w:t>
            </w:r>
          </w:p>
        </w:tc>
      </w:tr>
      <w:tr>
        <w:trPr>
          <w:cantSplit/>
        </w:trPr>
        <w:tc>
          <w:tcPr>
            <w:tcW w:w="1750" w:type="dxa"/>
            <w:vAlign w:val="center"/>
          </w:tcPr>
          <w:p>
            <w:pPr>
              <w:spacing w:before="30" w:after="30" w:line="240" w:lineRule="auto"/>
              <w:ind w:firstLine="0"/>
              <w:jc w:val="left"/>
            </w:pPr>
            <w:r>
              <w:rPr>
                <w:sz w:val="16"/>
                <w:szCs w:val="16"/>
              </w:rPr>
              <w:t xml:space="preserve">Z-score</w:t>
            </w:r>
          </w:p>
        </w:tc>
        <w:tc>
          <w:tcPr>
            <w:tcW w:w="1200" w:type="dxa"/>
            <w:vAlign w:val="center"/>
          </w:tcPr>
          <w:p>
            <w:pPr>
              <w:spacing w:before="30" w:after="30" w:line="240" w:lineRule="auto"/>
              <w:ind w:firstLine="0"/>
              <w:jc w:val="right"/>
            </w:pPr>
            <w:r>
              <w:rPr>
                <w:sz w:val="16"/>
                <w:szCs w:val="16"/>
              </w:rPr>
              <w:t xml:space="preserve">4,20</w:t>
            </w:r>
            <w:r>
              <w:rPr>
                <w:sz w:val="16"/>
                <w:szCs w:val="16"/>
                <w:vertAlign w:val="superscript"/>
              </w:rPr>
              <w:t xml:space="preserve">***</w:t>
            </w:r>
          </w:p>
        </w:tc>
        <w:tc>
          <w:tcPr>
            <w:tcW w:w="1200" w:type="dxa"/>
            <w:vAlign w:val="center"/>
          </w:tcPr>
          <w:p>
            <w:pPr>
              <w:spacing w:before="30" w:after="30" w:line="240" w:lineRule="auto"/>
              <w:ind w:firstLine="0"/>
              <w:jc w:val="right"/>
            </w:pPr>
            <w:r>
              <w:rPr>
                <w:sz w:val="16"/>
                <w:szCs w:val="16"/>
              </w:rPr>
              <w:t xml:space="preserve">6,32</w:t>
            </w:r>
            <w:r>
              <w:rPr>
                <w:sz w:val="16"/>
                <w:szCs w:val="16"/>
                <w:vertAlign w:val="superscript"/>
              </w:rPr>
              <w:t xml:space="preserve">***</w:t>
            </w:r>
          </w:p>
        </w:tc>
        <w:tc>
          <w:tcPr>
            <w:tcW w:w="1200" w:type="dxa"/>
            <w:vAlign w:val="center"/>
          </w:tcPr>
          <w:p>
            <w:pPr>
              <w:spacing w:before="30" w:after="30" w:line="240" w:lineRule="auto"/>
              <w:ind w:firstLine="0"/>
              <w:jc w:val="right"/>
            </w:pPr>
            <w:r>
              <w:rPr>
                <w:sz w:val="16"/>
                <w:szCs w:val="16"/>
              </w:rPr>
              <w:t xml:space="preserve">6,14</w:t>
            </w:r>
            <w:r>
              <w:rPr>
                <w:sz w:val="16"/>
                <w:szCs w:val="16"/>
                <w:vertAlign w:val="superscript"/>
              </w:rPr>
              <w:t xml:space="preserve">***</w:t>
            </w:r>
          </w:p>
        </w:tc>
        <w:tc>
          <w:tcPr>
            <w:tcW w:w="1200" w:type="dxa"/>
            <w:vAlign w:val="center"/>
          </w:tcPr>
          <w:p>
            <w:pPr>
              <w:spacing w:before="30" w:after="30" w:line="240" w:lineRule="auto"/>
              <w:ind w:firstLine="0"/>
              <w:jc w:val="right"/>
            </w:pPr>
            <w:r>
              <w:rPr>
                <w:sz w:val="16"/>
                <w:szCs w:val="16"/>
              </w:rPr>
              <w:t xml:space="preserve">6,20</w:t>
            </w:r>
            <w:r>
              <w:rPr>
                <w:sz w:val="16"/>
                <w:szCs w:val="16"/>
                <w:vertAlign w:val="superscript"/>
              </w:rPr>
              <w:t xml:space="preserve">***</w:t>
            </w:r>
          </w:p>
        </w:tc>
        <w:tc>
          <w:tcPr>
            <w:tcW w:w="1000" w:type="dxa"/>
            <w:vAlign w:val="center"/>
          </w:tcPr>
          <w:p>
            <w:pPr>
              <w:spacing w:before="30" w:after="30" w:line="240" w:lineRule="auto"/>
              <w:ind w:firstLine="0"/>
              <w:jc w:val="right"/>
            </w:pPr>
            <w:r>
              <w:rPr>
                <w:sz w:val="16"/>
                <w:szCs w:val="16"/>
              </w:rPr>
              <w:t xml:space="preserve">7,58</w:t>
            </w:r>
          </w:p>
        </w:tc>
        <w:tc>
          <w:tcPr>
            <w:tcW w:w="2088" w:type="dxa"/>
            <w:vAlign w:val="center"/>
          </w:tcPr>
          <w:p>
            <w:pPr>
              <w:spacing w:before="30" w:after="30" w:line="240" w:lineRule="auto"/>
              <w:ind w:firstLine="0"/>
              <w:jc w:val="left"/>
            </w:pPr>
            <w:r>
              <w:rPr>
                <w:sz w:val="16"/>
                <w:szCs w:val="16"/>
              </w:rPr>
              <w:t xml:space="preserve">estável</w:t>
            </w:r>
          </w:p>
        </w:tc>
      </w:tr>
    </w:tbl>
    <w:p w:rsidRPr="00F675F5" w:rsidR="00746909" w:rsidP="00746909" w:rsidRDefault="00746909" w14:paraId="3C832237" w14:textId="77777777">
      <w:pPr>
        <w:spacing w:after="240" w:line="264" w:lineRule="auto"/>
        <w:rPr>
          <w:lang w:val="pt-BR"/>
        </w:rPr>
      </w:pPr>
      <w:r w:rsidRPr="00F675F5">
        <w:rPr>
          <w:sz w:val="16"/>
          <w:szCs w:val="16"/>
          <w:lang w:val="pt-BR"/>
        </w:rPr>
        <w:t xml:space="preserve">Erros-padrão agrupados por instituição (HC3 nas duas últimas linhas); * p&lt;0,05, ** p&lt;0,01, *** p&lt;0,001, confirmados por </w:t>
      </w:r>
      <w:proofErr w:type="spellStart"/>
      <w:r w:rsidRPr="00F675F5">
        <w:rPr>
          <w:sz w:val="16"/>
          <w:szCs w:val="16"/>
          <w:lang w:val="pt-BR"/>
        </w:rPr>
        <w:t>bootstrap</w:t>
      </w:r>
      <w:proofErr w:type="spellEnd"/>
      <w:r w:rsidRPr="00F675F5">
        <w:rPr>
          <w:sz w:val="16"/>
          <w:szCs w:val="16"/>
          <w:lang w:val="pt-BR"/>
        </w:rPr>
        <w:t xml:space="preserve">. Mediana (2): mediana condicional da especificação (2). Classificação: regra da seção 2.3. Fonte: elaboração dos autores com dados do </w:t>
      </w:r>
      <w:proofErr w:type="spellStart"/>
      <w:r w:rsidRPr="00F675F5">
        <w:rPr>
          <w:sz w:val="16"/>
          <w:szCs w:val="16"/>
          <w:lang w:val="pt-BR"/>
        </w:rPr>
        <w:t>IF.data</w:t>
      </w:r>
      <w:proofErr w:type="spellEnd"/>
      <w:r w:rsidRPr="00F675F5">
        <w:rPr>
          <w:sz w:val="16"/>
          <w:szCs w:val="16"/>
          <w:lang w:val="pt-BR"/>
        </w:rPr>
        <w:t>.</w:t>
      </w:r>
    </w:p>
    <w:p w:rsidR="00746909" w:rsidP="00746909" w:rsidRDefault="00746909" w14:paraId="0DC46456" w14:textId="77777777">
      <w:pPr>
        <w:keepNext/>
        <w:keepLines/>
        <w:spacing w:before="120"/>
        <w:jc w:val="center"/>
      </w:pPr>
      <w:r>
        <w:rPr>
          <w:noProof/>
        </w:rPr>
        <w:lastRenderedPageBreak/>
        <w:drawing>
          <wp:inline distT="0" distB="0" distL="0" distR="0" wp14:anchorId="6A5D2034" wp14:editId="11A94ABA">
            <wp:extent cx="6120130" cy="3192836"/>
            <wp:effectExtent l="0" t="0" r="0" b="0"/>
            <wp:docPr id="1606097922" name="wp3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3_perfil.png"/>
                    <pic:cNvPicPr/>
                  </pic:nvPicPr>
                  <pic:blipFill>
                    <a:blip r:embed="rId15"/>
                    <a:stretch>
                      <a:fillRect/>
                    </a:stretch>
                  </pic:blipFill>
                  <pic:spPr>
                    <a:xfrm>
                      <a:off x="0" y="0"/>
                      <a:ext cx="6120130" cy="3192836"/>
                    </a:xfrm>
                    <a:prstGeom prst="rect">
                      <a:avLst/>
                    </a:prstGeom>
                  </pic:spPr>
                </pic:pic>
              </a:graphicData>
            </a:graphic>
          </wp:inline>
        </w:drawing>
      </w:r>
    </w:p>
    <w:p w:rsidRPr="00F675F5" w:rsidR="00746909" w:rsidP="00746909" w:rsidRDefault="00746909" w14:paraId="4249EE3D" w14:textId="77777777">
      <w:pPr>
        <w:keepNext/>
        <w:keepLines/>
        <w:spacing w:before="60" w:after="60" w:line="264" w:lineRule="auto"/>
        <w:jc w:val="center"/>
        <w:rPr>
          <w:lang w:val="pt-BR"/>
        </w:rPr>
      </w:pPr>
      <w:r w:rsidRPr="00F675F5">
        <w:rPr>
          <w:b/>
          <w:bCs/>
          <w:sz w:val="18"/>
          <w:szCs w:val="18"/>
          <w:lang w:val="pt-BR"/>
        </w:rPr>
        <w:t xml:space="preserve">Figura 2. </w:t>
      </w:r>
      <w:r w:rsidRPr="00F675F5">
        <w:rPr>
          <w:sz w:val="18"/>
          <w:szCs w:val="18"/>
          <w:lang w:val="pt-BR"/>
        </w:rPr>
        <w:t>Diferença entre cooperativas e bancos em cada indicador, em desvios-padrão</w:t>
      </w:r>
    </w:p>
    <w:p w:rsidRPr="00F675F5" w:rsidR="00746909" w:rsidP="00746909" w:rsidRDefault="00746909" w14:paraId="29458070" w14:textId="77777777">
      <w:pPr>
        <w:spacing w:after="240" w:line="264" w:lineRule="auto"/>
        <w:rPr>
          <w:lang w:val="pt-BR"/>
        </w:rPr>
      </w:pPr>
      <w:r w:rsidRPr="00F675F5">
        <w:rPr>
          <w:sz w:val="16"/>
          <w:szCs w:val="16"/>
          <w:lang w:val="pt-BR"/>
        </w:rPr>
        <w:t xml:space="preserve">Fonte: elaboração dos autores com dados do </w:t>
      </w:r>
      <w:proofErr w:type="spellStart"/>
      <w:r w:rsidRPr="00F675F5">
        <w:rPr>
          <w:sz w:val="16"/>
          <w:szCs w:val="16"/>
          <w:lang w:val="pt-BR"/>
        </w:rPr>
        <w:t>IF.data</w:t>
      </w:r>
      <w:proofErr w:type="spellEnd"/>
      <w:r w:rsidRPr="00F675F5">
        <w:rPr>
          <w:sz w:val="16"/>
          <w:szCs w:val="16"/>
          <w:lang w:val="pt-BR"/>
        </w:rPr>
        <w:t>. Especificação com controle de porte e trimestre. Intervalos de confiança de 95%, com erros-padrão agrupados por instituição.</w:t>
      </w:r>
    </w:p>
    <w:p w:rsidRPr="00DA7035" w:rsidR="00746909" w:rsidP="00746909" w:rsidRDefault="00746909" w14:paraId="7E64A8AD" w14:textId="307412FF">
      <w:pPr>
        <w:pStyle w:val="Ttulo2"/>
        <w:rPr>
          <w:lang w:val="pt-BR"/>
        </w:rPr>
      </w:pPr>
      <w:r>
        <w:rPr>
          <w:lang w:val="pt-BR"/>
        </w:rPr>
        <w:t>nível e dispersão de capital</w:t>
      </w:r>
    </w:p>
    <w:p w:rsidRPr="00F675F5" w:rsidR="006C76FA" w:rsidP="00BB4884" w:rsidRDefault="006C76FA" w14:paraId="13EBC5BB" w14:textId="77777777">
      <w:pPr>
        <w:spacing w:after="120"/>
        <w:ind w:firstLine="720"/>
        <w:jc w:val="both"/>
        <w:rPr>
          <w:lang w:val="pt-BR"/>
        </w:rPr>
      </w:pPr>
      <w:r w:rsidRPr="00F675F5">
        <w:rPr>
          <w:lang w:val="pt-BR"/>
        </w:rPr>
        <w:t>O resultado relativo ao capital exige leitura cuidadosa. Sem controles, a cooperativa mediana apresenta índice de Basileia superior ao do banco mediano, e a mediana das cooperativas supera a dos bancos na maior parte do período. Quando se controla o porte, porém, a diferença de médias é grande e negativa em todas as especificações. A Figura 3 concilia as duas leituras. A diferença estimada é positiva na parte inferior da distribuição condicional do índice de Basileia e negativa na parte superior, com inversão de sinal próxima ao 40º percentil. Entre o 20º e o 80º percentil, a diferença média corresponde a cerca de um terço da estimada pela média condicional.</w:t>
      </w:r>
    </w:p>
    <w:p w:rsidRPr="00F675F5" w:rsidR="006C76FA" w:rsidP="00BB4884" w:rsidRDefault="006C76FA" w14:paraId="570D5AF8" w14:textId="77777777">
      <w:pPr>
        <w:spacing w:after="120"/>
        <w:ind w:firstLine="720"/>
        <w:jc w:val="both"/>
        <w:rPr>
          <w:lang w:val="pt-BR"/>
        </w:rPr>
      </w:pPr>
      <w:r w:rsidRPr="00F675F5">
        <w:rPr>
          <w:lang w:val="pt-BR"/>
        </w:rPr>
        <w:t xml:space="preserve">A média é influenciada por uma cauda superior que só existe entre os bancos. Em 14% das observações trimestrais dos bancos, o índice de Basileia supera 50%; entre as cooperativas, essa proporção é de 1%. Essa cauda se concentra em bancos pequenos, que reportam de forma individual e têm baixa exposição ponderada pelo risco. Quando a comparação se restringe aos bancos que captaram depósitos em todos os trimestres, tanto a proporção de observações acima de 50% quanto a diferença média estimada caem à metade. Em porte igual, o que distingue os dois grupos é sobretudo a dispersão. Descontados os efeitos de porte e de trimestre, o desvio-padrão do índice de Basileia entre as cooperativas equivale a cerca de um terço do observado entre os bancos. O </w:t>
      </w:r>
      <w:r w:rsidRPr="00F675F5">
        <w:rPr>
          <w:lang w:val="pt-BR"/>
        </w:rPr>
        <w:lastRenderedPageBreak/>
        <w:t>padrão se repete nos demais indicadores: as cooperativas formam o grupo mais homogêneo em todos eles, com dispersão residual entre um décimo e a metade da observada nos bancos.</w:t>
      </w:r>
    </w:p>
    <w:p w:rsidR="006C76FA" w:rsidP="006C76FA" w:rsidRDefault="006C76FA" w14:paraId="3667B33C" w14:textId="77777777">
      <w:pPr>
        <w:keepNext/>
        <w:keepLines/>
        <w:spacing w:before="120"/>
        <w:jc w:val="center"/>
      </w:pPr>
      <w:r>
        <w:rPr>
          <w:noProof/>
        </w:rPr>
        <w:drawing>
          <wp:inline distT="0" distB="0" distL="0" distR="0" wp14:anchorId="1D9839F9" wp14:editId="73F4B688">
            <wp:extent cx="6120130" cy="2616577"/>
            <wp:effectExtent l="0" t="0" r="0" b="0"/>
            <wp:docPr id="1901651378" name="wp2_capi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2_capital.png"/>
                    <pic:cNvPicPr/>
                  </pic:nvPicPr>
                  <pic:blipFill>
                    <a:blip r:embed="rId16"/>
                    <a:stretch>
                      <a:fillRect/>
                    </a:stretch>
                  </pic:blipFill>
                  <pic:spPr>
                    <a:xfrm>
                      <a:off x="0" y="0"/>
                      <a:ext cx="6120130" cy="2616577"/>
                    </a:xfrm>
                    <a:prstGeom prst="rect">
                      <a:avLst/>
                    </a:prstGeom>
                  </pic:spPr>
                </pic:pic>
              </a:graphicData>
            </a:graphic>
          </wp:inline>
        </w:drawing>
      </w:r>
    </w:p>
    <w:p w:rsidRPr="00F675F5" w:rsidR="006C76FA" w:rsidP="006C76FA" w:rsidRDefault="006C76FA" w14:paraId="4353E827" w14:textId="77777777">
      <w:pPr>
        <w:keepNext/>
        <w:keepLines/>
        <w:spacing w:before="60" w:after="60" w:line="264" w:lineRule="auto"/>
        <w:jc w:val="center"/>
        <w:rPr>
          <w:lang w:val="pt-BR"/>
        </w:rPr>
      </w:pPr>
      <w:r w:rsidRPr="00F675F5">
        <w:rPr>
          <w:b/>
          <w:bCs/>
          <w:sz w:val="18"/>
          <w:szCs w:val="18"/>
          <w:lang w:val="pt-BR"/>
        </w:rPr>
        <w:t xml:space="preserve">Figura 3. </w:t>
      </w:r>
      <w:r w:rsidRPr="00F675F5">
        <w:rPr>
          <w:sz w:val="18"/>
          <w:szCs w:val="18"/>
          <w:lang w:val="pt-BR"/>
        </w:rPr>
        <w:t>O índice de Basileia ao longo da distribuição</w:t>
      </w:r>
    </w:p>
    <w:p w:rsidRPr="00F675F5" w:rsidR="006C76FA" w:rsidP="006C76FA" w:rsidRDefault="006C76FA" w14:paraId="04FDF477" w14:textId="77777777">
      <w:pPr>
        <w:spacing w:after="240" w:line="264" w:lineRule="auto"/>
        <w:rPr>
          <w:lang w:val="pt-BR"/>
        </w:rPr>
      </w:pPr>
      <w:r w:rsidRPr="00F675F5">
        <w:rPr>
          <w:sz w:val="16"/>
          <w:szCs w:val="16"/>
          <w:lang w:val="pt-BR"/>
        </w:rPr>
        <w:t xml:space="preserve">Fonte: elaboração dos autores com dados do </w:t>
      </w:r>
      <w:proofErr w:type="spellStart"/>
      <w:r w:rsidRPr="00F675F5">
        <w:rPr>
          <w:sz w:val="16"/>
          <w:szCs w:val="16"/>
          <w:lang w:val="pt-BR"/>
        </w:rPr>
        <w:t>IF.data</w:t>
      </w:r>
      <w:proofErr w:type="spellEnd"/>
      <w:r w:rsidRPr="00F675F5">
        <w:rPr>
          <w:sz w:val="16"/>
          <w:szCs w:val="16"/>
          <w:lang w:val="pt-BR"/>
        </w:rPr>
        <w:t xml:space="preserve">. Painel (a): coeficientes de regressão </w:t>
      </w:r>
      <w:proofErr w:type="spellStart"/>
      <w:r w:rsidRPr="00F675F5">
        <w:rPr>
          <w:sz w:val="16"/>
          <w:szCs w:val="16"/>
          <w:lang w:val="pt-BR"/>
        </w:rPr>
        <w:t>quantílica</w:t>
      </w:r>
      <w:proofErr w:type="spellEnd"/>
      <w:r w:rsidRPr="00F675F5">
        <w:rPr>
          <w:sz w:val="16"/>
          <w:szCs w:val="16"/>
          <w:lang w:val="pt-BR"/>
        </w:rPr>
        <w:t xml:space="preserve">, com faixa de confiança de 95% obtida por </w:t>
      </w:r>
      <w:proofErr w:type="spellStart"/>
      <w:r w:rsidRPr="00F675F5">
        <w:rPr>
          <w:sz w:val="16"/>
          <w:szCs w:val="16"/>
          <w:lang w:val="pt-BR"/>
        </w:rPr>
        <w:t>bootstrap</w:t>
      </w:r>
      <w:proofErr w:type="spellEnd"/>
      <w:r w:rsidRPr="00F675F5">
        <w:rPr>
          <w:sz w:val="16"/>
          <w:szCs w:val="16"/>
          <w:lang w:val="pt-BR"/>
        </w:rPr>
        <w:t xml:space="preserve"> de instituições, e a média condicional. Painel (b): índice de Basileia antes do tratamento de valores extremos, em escala logarítmica; as alturas indicam o percentual das observações trimestrais de cada grupo.</w:t>
      </w:r>
    </w:p>
    <w:p w:rsidRPr="00DA7035" w:rsidR="006C76FA" w:rsidP="006C76FA" w:rsidRDefault="00551651" w14:paraId="537D9AC1" w14:textId="6F7A024A">
      <w:pPr>
        <w:pStyle w:val="Ttulo2"/>
        <w:rPr>
          <w:lang w:val="pt-BR"/>
        </w:rPr>
      </w:pPr>
      <w:r>
        <w:rPr>
          <w:lang w:val="pt-BR"/>
        </w:rPr>
        <w:t>PROVISIONAMENTO E MARGEM DE INTERMEDIAÇÃO</w:t>
      </w:r>
    </w:p>
    <w:p w:rsidRPr="00F675F5" w:rsidR="00EC66F6" w:rsidP="00BB4884" w:rsidRDefault="00EC66F6" w14:paraId="3202FB75" w14:textId="77777777">
      <w:pPr>
        <w:spacing w:after="120"/>
        <w:ind w:firstLine="720"/>
        <w:jc w:val="both"/>
        <w:rPr>
          <w:lang w:val="pt-BR"/>
        </w:rPr>
      </w:pPr>
      <w:r w:rsidRPr="00F675F5">
        <w:rPr>
          <w:lang w:val="pt-BR"/>
        </w:rPr>
        <w:t>Em comparação com o conjunto de todas as instituições não cooperativas, as cooperativas parecem provisionar menos, com significância a 1% nas quatro especificações. Em comparação com os bancos, a diferença fica próxima de zero. A diferença observada no grupo amplo decorre das instituições não bancárias que concedem crédito, cujos índices de provisionamento são quase três vezes os de bancos e cooperativas. Na mediana condicional, o sinal se inverte: as cooperativas provisionam mais. Como a atenção da supervisão recai sobre o capital, a amostra foi dividida em tercis do índice de Basileia. Em nenhum deles as cooperativas provisionam menos que os bancos. Como a provisão mínima decorre da classificação de risco de cada operação, de AA a H, conforme a Resolução 2.682/1999, o resultado reflete sobretudo a forma como cada grupo classifica sua carteira.</w:t>
      </w:r>
    </w:p>
    <w:p w:rsidRPr="00F675F5" w:rsidR="00EC66F6" w:rsidP="00BB4884" w:rsidRDefault="00EC66F6" w14:paraId="3775794B" w14:textId="768BD128">
      <w:pPr>
        <w:spacing w:after="120"/>
        <w:ind w:firstLine="720"/>
        <w:jc w:val="both"/>
        <w:rPr>
          <w:lang w:val="pt-BR"/>
        </w:rPr>
      </w:pPr>
      <w:r w:rsidRPr="00F675F5">
        <w:rPr>
          <w:lang w:val="pt-BR"/>
        </w:rPr>
        <w:t xml:space="preserve">A margem de intermediação segue o mesmo padrão. No grupo amplo, a diferença é grande e significativa, porque as instituições não bancárias registram margens várias vezes superiores às de bancos e cooperativas em relação ao ativo. Em comparação com os bancos, a diferença é pequena e não significativa; em comparação com os bancos que </w:t>
      </w:r>
      <w:r w:rsidRPr="00F675F5">
        <w:rPr>
          <w:lang w:val="pt-BR"/>
        </w:rPr>
        <w:lastRenderedPageBreak/>
        <w:t>captam depósitos, torna-se positiva. Como o sinal depende do grupo de comparação, o indicador é classificado como nulo. O índice de captações é significativo em apenas uma das quatro especificações e muda de sinal na mediana, razão pela qual também não é tratado como resultado.</w:t>
      </w:r>
      <w:r w:rsidR="00EA37FD">
        <w:rPr>
          <w:lang w:val="pt-BR"/>
        </w:rPr>
        <w:t xml:space="preserve"> A Figura 5 mostra a origem dessa heterogeneidade: as cooperativas formam um grupo compacto, com crédito e captações em torno de 60% do ativo, enquanto bancos e demais instituições se espalham por todo o plano.</w:t>
      </w:r>
    </w:p>
    <w:p w:rsidR="00EC66F6" w:rsidP="00EC66F6" w:rsidRDefault="00EC66F6" w14:paraId="30BAF828" w14:textId="77777777">
      <w:pPr>
        <w:keepNext/>
        <w:keepLines/>
        <w:spacing w:before="120"/>
        <w:jc w:val="center"/>
      </w:pPr>
      <w:r>
        <w:rPr>
          <w:noProof/>
        </w:rPr>
        <w:drawing>
          <wp:inline distT="0" distB="0" distL="0" distR="0" wp14:anchorId="7C1C5217" wp14:editId="1A3707E1">
            <wp:extent cx="6119124" cy="3790950"/>
            <wp:effectExtent l="0" t="0" r="0" b="0"/>
            <wp:docPr id="2048497170" name="wp4_gru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4_grupos.png"/>
                    <pic:cNvPicPr/>
                  </pic:nvPicPr>
                  <pic:blipFill>
                    <a:blip r:embed="rId17"/>
                    <a:stretch>
                      <a:fillRect/>
                    </a:stretch>
                  </pic:blipFill>
                  <pic:spPr>
                    <a:xfrm>
                      <a:off x="0" y="0"/>
                      <a:ext cx="6121978" cy="3792718"/>
                    </a:xfrm>
                    <a:prstGeom prst="rect">
                      <a:avLst/>
                    </a:prstGeom>
                  </pic:spPr>
                </pic:pic>
              </a:graphicData>
            </a:graphic>
          </wp:inline>
        </w:drawing>
      </w:r>
    </w:p>
    <w:p w:rsidRPr="00F675F5" w:rsidR="00EC66F6" w:rsidP="00EC66F6" w:rsidRDefault="00EC66F6" w14:paraId="0FCEDC11" w14:textId="77777777">
      <w:pPr>
        <w:keepNext/>
        <w:keepLines/>
        <w:spacing w:before="60" w:after="60" w:line="264" w:lineRule="auto"/>
        <w:jc w:val="center"/>
        <w:rPr>
          <w:lang w:val="pt-BR"/>
        </w:rPr>
      </w:pPr>
      <w:r w:rsidRPr="00F675F5">
        <w:rPr>
          <w:b/>
          <w:bCs/>
          <w:sz w:val="18"/>
          <w:szCs w:val="18"/>
          <w:lang w:val="pt-BR"/>
        </w:rPr>
        <w:t xml:space="preserve">Figura 4. </w:t>
      </w:r>
      <w:r w:rsidRPr="00F675F5">
        <w:rPr>
          <w:sz w:val="18"/>
          <w:szCs w:val="18"/>
          <w:lang w:val="pt-BR"/>
        </w:rPr>
        <w:t>Quatro indicadores nos cinco grupos de comparação</w:t>
      </w:r>
    </w:p>
    <w:p w:rsidR="00EA37FD" w:rsidP="00EC66F6" w:rsidRDefault="00EC66F6" w14:paraId="400B1588" w14:textId="77777777">
      <w:pPr>
        <w:spacing w:after="240" w:line="264" w:lineRule="auto"/>
        <w:rPr>
          <w:sz w:val="16"/>
          <w:szCs w:val="16"/>
          <w:lang w:val="pt-BR"/>
        </w:rPr>
      </w:pPr>
      <w:r w:rsidRPr="00F675F5">
        <w:rPr>
          <w:sz w:val="16"/>
          <w:szCs w:val="16"/>
          <w:lang w:val="pt-BR"/>
        </w:rPr>
        <w:t xml:space="preserve">Fonte: elaboração dos autores com dados do </w:t>
      </w:r>
      <w:proofErr w:type="spellStart"/>
      <w:r w:rsidRPr="00F675F5">
        <w:rPr>
          <w:sz w:val="16"/>
          <w:szCs w:val="16"/>
          <w:lang w:val="pt-BR"/>
        </w:rPr>
        <w:t>IF.data</w:t>
      </w:r>
      <w:proofErr w:type="spellEnd"/>
      <w:r w:rsidRPr="00F675F5">
        <w:rPr>
          <w:sz w:val="16"/>
          <w:szCs w:val="16"/>
          <w:lang w:val="pt-BR"/>
        </w:rPr>
        <w:t>. Especificação com controle de porte e trimestre; o grupo "mesma região" pareia também por macrorregião. Intervalos de confiança de 95%, com erros-padrão agrupados por instituição. Marcadores cheios: p &lt; 0,05. Faixa sombreada: bancos, o grupo principal.</w:t>
      </w:r>
    </w:p>
    <w:p w:rsidR="00EA37FD" w:rsidP="00EA37FD" w:rsidRDefault="00531005" w14:paraId="651359B4" w14:textId="4A38D14A">
      <w:pPr>
        <w:spacing w:before="120"/>
        <w:jc w:val="center"/>
      </w:pPr>
      <w:r>
        <w:rPr>
          <w:noProof/>
        </w:rPr>
        <w:lastRenderedPageBreak/>
        <w:drawing>
          <wp:inline distT="0" distB="0" distL="0" distR="0" wp14:anchorId="20D09E78" wp14:editId="4C360AF8">
            <wp:extent cx="5615305" cy="3701568"/>
            <wp:effectExtent l="0" t="0" r="4445" b="0"/>
            <wp:docPr id="86453702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5305" cy="3701568"/>
                    </a:xfrm>
                    <a:prstGeom prst="rect">
                      <a:avLst/>
                    </a:prstGeom>
                    <a:noFill/>
                    <a:ln>
                      <a:noFill/>
                    </a:ln>
                  </pic:spPr>
                </pic:pic>
              </a:graphicData>
            </a:graphic>
          </wp:inline>
        </w:drawing>
      </w:r>
    </w:p>
    <w:p w:rsidRPr="00EA37FD" w:rsidR="00EA37FD" w:rsidP="00EA37FD" w:rsidRDefault="00EA37FD" w14:paraId="18FEB7F7" w14:textId="77777777">
      <w:pPr>
        <w:spacing w:before="60" w:after="60" w:line="264" w:lineRule="auto"/>
        <w:jc w:val="center"/>
        <w:rPr>
          <w:color w:val="000000"/>
          <w:sz w:val="18"/>
          <w:lang w:val="pt-BR"/>
        </w:rPr>
      </w:pPr>
      <w:r w:rsidRPr="00EA37FD">
        <w:rPr>
          <w:b/>
          <w:color w:val="000000"/>
          <w:sz w:val="18"/>
          <w:lang w:val="pt-BR"/>
        </w:rPr>
        <w:t>Figura 5.</w:t>
      </w:r>
      <w:r w:rsidRPr="00EA37FD">
        <w:rPr>
          <w:color w:val="000000"/>
          <w:sz w:val="18"/>
          <w:lang w:val="pt-BR"/>
        </w:rPr>
        <w:t xml:space="preserve"> Crédito e captações sobre o ativo, por grupo de instituições</w:t>
      </w:r>
    </w:p>
    <w:p w:rsidRPr="00EA37FD" w:rsidR="00EC66F6" w:rsidP="00EA37FD" w:rsidRDefault="00EA37FD" w14:paraId="0DDD413C" w14:textId="0BECDD9E">
      <w:pPr>
        <w:spacing w:after="240" w:line="264" w:lineRule="auto"/>
        <w:rPr>
          <w:color w:val="000000"/>
          <w:sz w:val="16"/>
          <w:lang w:val="pt-BR"/>
        </w:rPr>
      </w:pPr>
      <w:r w:rsidRPr="00EA37FD">
        <w:rPr>
          <w:color w:val="000000"/>
          <w:sz w:val="16"/>
          <w:lang w:val="pt-BR"/>
        </w:rPr>
        <w:t xml:space="preserve">Fonte: elaboração dos autores com dados do </w:t>
      </w:r>
      <w:proofErr w:type="spellStart"/>
      <w:r w:rsidRPr="00EA37FD">
        <w:rPr>
          <w:color w:val="000000"/>
          <w:sz w:val="16"/>
          <w:lang w:val="pt-BR"/>
        </w:rPr>
        <w:t>IF.data</w:t>
      </w:r>
      <w:proofErr w:type="spellEnd"/>
      <w:r w:rsidRPr="00EA37FD">
        <w:rPr>
          <w:color w:val="000000"/>
          <w:sz w:val="16"/>
          <w:lang w:val="pt-BR"/>
        </w:rPr>
        <w:t>. Cada ponto representa uma instituição, com a mediana de cada indicador no período. O grupo de outras instituições não cooperativas reúne instituições não bancárias de perfis muito distintos; 158 delas não registram carteira de crédito nem captações.</w:t>
      </w:r>
    </w:p>
    <w:p w:rsidRPr="00DA7035" w:rsidR="00EC66F6" w:rsidP="00EC66F6" w:rsidRDefault="00EC66F6" w14:paraId="724251C5" w14:textId="45454BE4">
      <w:pPr>
        <w:pStyle w:val="Ttulo2"/>
        <w:rPr>
          <w:lang w:val="pt-BR"/>
        </w:rPr>
      </w:pPr>
      <w:r>
        <w:rPr>
          <w:lang w:val="pt-BR"/>
        </w:rPr>
        <w:t>heterogeneidade macrorregional</w:t>
      </w:r>
    </w:p>
    <w:p w:rsidRPr="00F675F5" w:rsidR="00CF0660" w:rsidP="00BB4884" w:rsidRDefault="00CF0660" w14:paraId="75021631" w14:textId="77777777">
      <w:pPr>
        <w:spacing w:after="120"/>
        <w:ind w:firstLine="720"/>
        <w:jc w:val="both"/>
        <w:rPr>
          <w:lang w:val="pt-BR"/>
        </w:rPr>
      </w:pPr>
      <w:r w:rsidRPr="00F675F5">
        <w:rPr>
          <w:lang w:val="pt-BR"/>
        </w:rPr>
        <w:t xml:space="preserve">Quando o pareamento considera apenas o porte, as cooperativas destinam ao crédito parcela do ativo substancialmente maior que a dos bancos comparáveis, com significância a 1% em todas as especificações. Quando o pareamento inclui também a macrorregião, a diferença é pequena e não se distingue de zero. As cooperativas emprestam mais que o conjunto dos bancos do país; dentro de cada mercado regional, a diferença não pode ser separada de zero. Qual das duas estimativas é a relevante depende de uma hipótese que os dados não permitem testar. Se a cooperativa se concentra onde está por razões internas ao modelo de finanças associativas, a região é um mediador e vale a estimativa nacional. Se a estrutura do mercado regional independe da forma organizacional, a região é um fator de confusão e o resultado é nulo. O estudo apresenta as duas estimativas como parâmetros distintos. As estimativas regionais são imprecisas, porque o pareamento exato por região reduz o grupo de controle efetivo </w:t>
      </w:r>
      <w:proofErr w:type="spellStart"/>
      <w:r w:rsidRPr="00F675F5">
        <w:rPr>
          <w:lang w:val="pt-BR"/>
        </w:rPr>
        <w:t>a cerca</w:t>
      </w:r>
      <w:proofErr w:type="spellEnd"/>
      <w:r w:rsidRPr="00F675F5">
        <w:rPr>
          <w:lang w:val="pt-BR"/>
        </w:rPr>
        <w:t xml:space="preserve"> de dezoito instituições.</w:t>
      </w:r>
    </w:p>
    <w:p w:rsidRPr="00DA7035" w:rsidR="00CF0660" w:rsidP="00CF0660" w:rsidRDefault="00CF0660" w14:paraId="4CB403DC" w14:textId="4BB10AF4">
      <w:pPr>
        <w:pStyle w:val="Ttulo2"/>
        <w:rPr>
          <w:lang w:val="pt-BR"/>
        </w:rPr>
      </w:pPr>
      <w:r>
        <w:rPr>
          <w:lang w:val="pt-BR"/>
        </w:rPr>
        <w:lastRenderedPageBreak/>
        <w:t>sistemas de cooperativas</w:t>
      </w:r>
    </w:p>
    <w:p w:rsidRPr="00F675F5" w:rsidR="00856DD1" w:rsidP="00BB4884" w:rsidRDefault="00856DD1" w14:paraId="7A74A54E" w14:textId="77777777">
      <w:pPr>
        <w:spacing w:after="120"/>
        <w:ind w:firstLine="720"/>
        <w:jc w:val="both"/>
        <w:rPr>
          <w:lang w:val="pt-BR"/>
        </w:rPr>
      </w:pPr>
      <w:r w:rsidRPr="00F675F5">
        <w:rPr>
          <w:lang w:val="pt-BR"/>
        </w:rPr>
        <w:t xml:space="preserve">Sicredi e Sicoob reúnem todas as cooperativas da amostra, com exceção de sete. As filiadas aos dois sistemas mantêm índice de Basileia inferior ao de bancos comparáveis, com significância confirmada pelo </w:t>
      </w:r>
      <w:proofErr w:type="spellStart"/>
      <w:r w:rsidRPr="00F675F5">
        <w:rPr>
          <w:lang w:val="pt-BR"/>
        </w:rPr>
        <w:t>bootstrap</w:t>
      </w:r>
      <w:proofErr w:type="spellEnd"/>
      <w:r w:rsidRPr="00F675F5">
        <w:rPr>
          <w:lang w:val="pt-BR"/>
        </w:rPr>
        <w:t xml:space="preserve"> em cada um deles. As seis cooperativas independentes correspondem a apenas cinco grupos tratados, e a diferença de capital estimada para elas é positiva e não se distingue de ruído estatístico. A divisão por sistema localiza a diferença de capital nos dois grandes sistemas, mas não a explica. Uma explicação possível é o suporte do sistema: uma cooperativa que conta com centralização financeira e gestão consolidada de riscos pode operar com um colchão individual mais fino. Os sistemas também diferem quanto ao porte, à distribuição geográfica, ao perfil de negócios e à governança das filiadas, e a análise não separa o efeito do suporte desses fatores. A diferença de provisionamento não é significativa em nenhum dos sistemas.</w:t>
      </w:r>
    </w:p>
    <w:p>
      <w:pPr>
        <w:spacing w:after="120"/>
        <w:ind w:firstLine="720"/>
        <w:jc w:val="both"/>
        <w:rPr>
          <w:lang w:val="pt-BR"/>
        </w:rPr>
      </w:pPr>
      <w:r>
        <w:rPr>
          <w:lang w:val="pt-BR"/>
        </w:rPr>
        <w:t xml:space="preserve">A comparação também atravessa uma fronteira. Os bancos entram em parte como conglomerados prudenciais; as cooperativas entram como singulares, e as centrais ficam de fora. Uma agregação em nível de sistema está fora do alcance do IF.data, que vincula a singular ao seu sistema, mas não à sua central. A assimetria pode ser dimensionada. Ao final de 2024, as centrais detinham cerca de um quarto dos ativos das singulares, em grande parte os depósitos das próprias singulares na centralização financeira, mas cerca de 6% do seu capital regulamentar e cerca de um décimo das suas despesas administrativas e de pessoal; e as taxas que a singular paga à central são registradas como despesas administrativas da própria singular. A consolidação das centrais tenderia, portanto, a deslocar as diferenças de capital e de custo em magnitude muito inferior ao seu tamanho.</w:t>
      </w:r>
    </w:p>
    <w:p w:rsidRPr="00DA7035" w:rsidR="00856DD1" w:rsidP="00856DD1" w:rsidRDefault="00856DD1" w14:paraId="340D471E" w14:textId="7D1BAA61">
      <w:pPr>
        <w:pStyle w:val="Ttulo2"/>
        <w:rPr>
          <w:lang w:val="pt-BR"/>
        </w:rPr>
      </w:pPr>
      <w:r>
        <w:rPr>
          <w:lang w:val="pt-BR"/>
        </w:rPr>
        <w:t xml:space="preserve">Testes de sensibilidade</w:t>
      </w:r>
    </w:p>
    <w:p w:rsidRPr="00DA0321" w:rsidR="00DA0321" w:rsidP="00BB4884" w:rsidRDefault="00DA0321" w14:paraId="46D8571D" w14:textId="2459DA1B">
      <w:pPr>
        <w:pStyle w:val="PargrafodaLista"/>
        <w:numPr>
          <w:ilvl w:val="0"/>
          <w:numId w:val="14"/>
        </w:numPr>
        <w:jc w:val="both"/>
        <w:rPr>
          <w:lang w:val="pt-BR"/>
        </w:rPr>
      </w:pPr>
      <w:r w:rsidRPr="00DA0321">
        <w:rPr>
          <w:lang w:val="pt-BR"/>
        </w:rPr>
        <w:t>A exclusão dos onze bancos dos segmentos S1 e S2 não altera nenhum coeficiente significativo em mais de 2%.</w:t>
      </w:r>
    </w:p>
    <w:p w:rsidRPr="00DA0321" w:rsidR="00DA0321" w:rsidP="00BB4884" w:rsidRDefault="00DA0321" w14:paraId="7492E054" w14:textId="3B44EA4D">
      <w:pPr>
        <w:pStyle w:val="PargrafodaLista"/>
        <w:numPr>
          <w:ilvl w:val="0"/>
          <w:numId w:val="14"/>
        </w:numPr>
        <w:jc w:val="both"/>
        <w:rPr>
          <w:lang w:val="pt-BR"/>
        </w:rPr>
      </w:pPr>
      <w:r w:rsidRPr="00DA0321">
        <w:rPr>
          <w:lang w:val="pt-BR"/>
        </w:rPr>
        <w:t>Todos os resultados mantêm sinal e significância antes e depois da revisão das regras de capital de janeiro de 2022, com magnitudes cerca de um quinto menores no segundo período.</w:t>
      </w:r>
    </w:p>
    <w:p w:rsidRPr="00DA0321" w:rsidR="00DA0321" w:rsidP="00BB4884" w:rsidRDefault="00DA0321" w14:paraId="41B4ECD4" w14:textId="60457FD4">
      <w:pPr>
        <w:pStyle w:val="PargrafodaLista"/>
        <w:numPr>
          <w:ilvl w:val="0"/>
          <w:numId w:val="14"/>
        </w:numPr>
        <w:jc w:val="both"/>
        <w:rPr>
          <w:lang w:val="pt-BR"/>
        </w:rPr>
      </w:pPr>
      <w:r w:rsidRPr="00DA0321">
        <w:rPr>
          <w:lang w:val="pt-BR"/>
        </w:rPr>
        <w:t xml:space="preserve">Quatro regras de tratamento de valores extremos, a </w:t>
      </w:r>
      <w:proofErr w:type="spellStart"/>
      <w:r w:rsidRPr="00DA0321">
        <w:rPr>
          <w:lang w:val="pt-BR"/>
        </w:rPr>
        <w:t>reestimação</w:t>
      </w:r>
      <w:proofErr w:type="spellEnd"/>
      <w:r w:rsidRPr="00DA0321">
        <w:rPr>
          <w:lang w:val="pt-BR"/>
        </w:rPr>
        <w:t xml:space="preserve"> apenas com as observações em que a provisão é informada e a exclusão das seis cooperativas que voltaram à metodologia simplificada mantêm todos os sinais.</w:t>
      </w:r>
    </w:p>
    <w:p w:rsidRPr="00DA0321" w:rsidR="00DA0321" w:rsidP="00BB4884" w:rsidRDefault="00DA0321" w14:paraId="54EE53A9" w14:textId="6C3C222F">
      <w:pPr>
        <w:pStyle w:val="PargrafodaLista"/>
        <w:numPr>
          <w:ilvl w:val="0"/>
          <w:numId w:val="14"/>
        </w:numPr>
        <w:jc w:val="both"/>
        <w:rPr>
          <w:lang w:val="pt-BR"/>
        </w:rPr>
      </w:pPr>
      <w:r w:rsidRPr="00DA0321">
        <w:rPr>
          <w:lang w:val="pt-BR"/>
        </w:rPr>
        <w:t>As estimativas na amostra pareada, com e sem ponderação, diferem entre si menos que o erro amostral.</w:t>
      </w:r>
    </w:p>
    <w:p w:rsidRPr="00DA0321" w:rsidR="00DA0321" w:rsidP="00BB4884" w:rsidRDefault="00DA0321" w14:paraId="7933516D" w14:textId="2A650C96">
      <w:pPr>
        <w:pStyle w:val="PargrafodaLista"/>
        <w:numPr>
          <w:ilvl w:val="0"/>
          <w:numId w:val="14"/>
        </w:numPr>
        <w:jc w:val="both"/>
        <w:rPr>
          <w:lang w:val="pt-BR"/>
        </w:rPr>
      </w:pPr>
      <w:r w:rsidRPr="00DA0321">
        <w:rPr>
          <w:lang w:val="pt-BR"/>
        </w:rPr>
        <w:t>As cooperativas que passaram à metodologia completa durante o período tinham, antes da mudança, menor participação do crédito no ativo e rentabilidade um pouco menor que as que permaneceram na simplificada. A seleção para a amostra tende, portanto, a subestimar as diferenças de crédito e de rentabilidade.</w:t>
      </w:r>
    </w:p>
    <w:p w:rsidR="00DA0321" w:rsidRDefault="00DA0321" w14:paraId="3C48C50A" w14:textId="77777777">
      <w:pPr>
        <w:spacing w:line="240" w:lineRule="auto"/>
        <w:rPr>
          <w:rFonts w:ascii="Tahoma" w:hAnsi="Tahoma" w:eastAsiaTheme="majorEastAsia" w:cstheme="majorBidi"/>
          <w:b/>
          <w:color w:val="003974"/>
          <w:sz w:val="28"/>
          <w:szCs w:val="32"/>
          <w:lang w:val="pt-BR"/>
        </w:rPr>
      </w:pPr>
      <w:r>
        <w:rPr>
          <w:lang w:val="pt-BR"/>
        </w:rPr>
        <w:br w:type="page"/>
      </w:r>
    </w:p>
    <w:p w:rsidRPr="00DA7035" w:rsidR="00DA0321" w:rsidP="00DA0321" w:rsidRDefault="00DA0321" w14:paraId="2FA2D116" w14:textId="7FB689BD">
      <w:pPr>
        <w:pStyle w:val="Ttulo1"/>
        <w:rPr>
          <w:lang w:val="pt-BR"/>
        </w:rPr>
      </w:pPr>
      <w:r>
        <w:rPr>
          <w:lang w:val="pt-BR"/>
        </w:rPr>
        <w:lastRenderedPageBreak/>
        <w:t xml:space="preserve">PARTE </w:t>
      </w:r>
      <w:r>
        <w:rPr>
          <w:lang w:val="pt-BR"/>
        </w:rPr>
        <w:t>4</w:t>
      </w:r>
      <w:r>
        <w:rPr>
          <w:lang w:val="pt-BR"/>
        </w:rPr>
        <w:t xml:space="preserve">. </w:t>
      </w:r>
      <w:r>
        <w:rPr>
          <w:lang w:val="pt-BR"/>
        </w:rPr>
        <w:t>DISCUSSÃO</w:t>
      </w:r>
    </w:p>
    <w:p w:rsidRPr="00DA7035" w:rsidR="00DA0321" w:rsidP="00DA0321" w:rsidRDefault="00A53F3E" w14:paraId="143C14EF" w14:textId="3023FA36">
      <w:pPr>
        <w:pStyle w:val="Ttulo2"/>
        <w:rPr>
          <w:lang w:val="pt-BR"/>
        </w:rPr>
      </w:pPr>
      <w:r>
        <w:rPr>
          <w:lang w:val="pt-BR"/>
        </w:rPr>
        <w:t>PARA A REGULAÇÃO PROPORCIONAL</w:t>
      </w:r>
    </w:p>
    <w:p w:rsidRPr="00F675F5" w:rsidR="00996595" w:rsidP="00BB4884" w:rsidRDefault="00996595" w14:paraId="3D53FF5A" w14:textId="77777777">
      <w:pPr>
        <w:spacing w:after="120"/>
        <w:ind w:firstLine="720"/>
        <w:jc w:val="both"/>
        <w:rPr>
          <w:lang w:val="pt-BR"/>
        </w:rPr>
      </w:pPr>
      <w:r w:rsidRPr="00F675F5">
        <w:rPr>
          <w:lang w:val="pt-BR"/>
        </w:rPr>
        <w:t xml:space="preserve">Os resultados alcançam duas dimensões da proporcionalidade além do porte. A primeira é a arquitetura organizacional, já que a diferença de capital é um traço dos dois grandes sistemas. Se a hipótese do suporte do sistema se confirmar, um arcabouço proporcional pode tratar o sistema cooperativo e seus mecanismos de proteção como a </w:t>
      </w:r>
      <w:r w:rsidRPr="00923A8A">
        <w:rPr>
          <w:b/>
          <w:lang w:val="pt-BR"/>
        </w:rPr>
        <w:t>unidade de referência</w:t>
      </w:r>
      <w:r w:rsidRPr="00F675F5">
        <w:rPr>
          <w:lang w:val="pt-BR"/>
        </w:rPr>
        <w:t xml:space="preserve"> para parte da avaliação de capital e de liquidez, como já ocorre com os grupos cooperativos franceses. Se a diferença refletir o porte, a distribuição geográfica ou o perfil de negócios das filiadas, essa sugestão perde fundamento. A segunda dimensão é a calibragem do referencial. Um parâmetro definido pela instituição média da metodologia completa pode descrever mal a configuração das cooperativas, porque essa média provém de uma distribuição cuja parte superior as cooperativas não ocupam.</w:t>
      </w:r>
    </w:p>
    <w:p w:rsidR="00996595" w:rsidP="00BB4884" w:rsidRDefault="00996595" w14:paraId="5A77EE25" w14:textId="77777777">
      <w:pPr>
        <w:spacing w:after="120"/>
        <w:ind w:firstLine="720"/>
        <w:jc w:val="both"/>
        <w:rPr>
          <w:lang w:val="pt-BR"/>
        </w:rPr>
      </w:pPr>
      <w:r w:rsidRPr="00F675F5">
        <w:rPr>
          <w:lang w:val="pt-BR"/>
        </w:rPr>
        <w:t>Um requerimento mais brando não decorre automaticamente desses resultados. O argumento de que o supervisor atua em nome de depositantes dispersos perde força no caso de uma cooperativa de propriedade dos associados e acompanhada pela central. O risco sistêmico de uma quebra e o risco moral associado à garantia de depósitos permanecem, e o FGCoop, fundo privado e mutualizado do próprio setor, faz o restante do cooperativismo arcar com o custo de um colchão fino. Um capital mais fino pode justificar tanto acompanhamento supervisório mais próximo quanto alívio de exigências.</w:t>
      </w:r>
    </w:p>
    <w:p w:rsidRPr="00DA7035" w:rsidR="00996595" w:rsidP="00996595" w:rsidRDefault="00996595" w14:paraId="51401D67" w14:textId="0B11ADDC">
      <w:pPr>
        <w:pStyle w:val="Ttulo2"/>
        <w:rPr>
          <w:lang w:val="pt-BR"/>
        </w:rPr>
      </w:pPr>
      <w:r>
        <w:rPr>
          <w:lang w:val="pt-BR"/>
        </w:rPr>
        <w:t xml:space="preserve">PARA A </w:t>
      </w:r>
      <w:r>
        <w:rPr>
          <w:lang w:val="pt-BR"/>
        </w:rPr>
        <w:t>SUPERVISÃO</w:t>
      </w:r>
    </w:p>
    <w:p w:rsidR="00581C43" w:rsidP="004627EA" w:rsidRDefault="004627EA" w14:paraId="70C1CF6F" w14:textId="5249CE1E">
      <w:pPr>
        <w:spacing w:after="120"/>
        <w:ind w:firstLine="720"/>
        <w:jc w:val="both"/>
        <w:rPr>
          <w:lang w:val="pt-BR"/>
        </w:rPr>
      </w:pPr>
      <w:r>
        <w:rPr>
          <w:lang w:val="pt-BR"/>
        </w:rPr>
        <w:t xml:space="preserve">Para a supervisão, a leitura relevante combina capital e provisão. Na faixa inferior da distribuição de capital, onde se concentra a preocupação prudencial, as cooperativas mantêm mais capital que os bancos comparáveis e provisionam em nível igual ou superior. O dado que sustenta a leitura de que a cooperativa é menos capitalizada é a ausência, entre elas, da cauda de bancos com capital muito elevado. Várias diferenças que parecem grandes na média são, na verdade, diferenças de dispersão; a mediana condicional e o perfil por quantil merecem o mesmo peso que a média na análise.</w:t>
      </w:r>
    </w:p>
    <w:p w:rsidRPr="00DA7035" w:rsidR="004627EA" w:rsidP="004627EA" w:rsidRDefault="004627EA" w14:paraId="3FBB3C31" w14:textId="0B4ABEA6">
      <w:pPr>
        <w:pStyle w:val="Ttulo2"/>
        <w:rPr>
          <w:lang w:val="pt-BR"/>
        </w:rPr>
      </w:pPr>
      <w:r>
        <w:rPr>
          <w:lang w:val="pt-BR"/>
        </w:rPr>
        <w:t xml:space="preserve">PARA </w:t>
      </w:r>
      <w:r>
        <w:rPr>
          <w:lang w:val="pt-BR"/>
        </w:rPr>
        <w:t xml:space="preserve">o sistema ocb e </w:t>
      </w:r>
      <w:r w:rsidR="008D28B9">
        <w:rPr>
          <w:lang w:val="pt-BR"/>
        </w:rPr>
        <w:t>cooperativas de crédito</w:t>
      </w:r>
    </w:p>
    <w:p w:rsidRPr="00F675F5" w:rsidR="0030655E" w:rsidP="00A46DFD" w:rsidRDefault="0030655E" w14:paraId="0AC266EC" w14:textId="77777777">
      <w:pPr>
        <w:spacing w:after="120"/>
        <w:ind w:firstLine="720"/>
        <w:jc w:val="both"/>
        <w:rPr>
          <w:lang w:val="pt-BR"/>
        </w:rPr>
      </w:pPr>
      <w:r>
        <w:rPr>
          <w:lang w:val="pt-BR"/>
        </w:rPr>
        <w:t xml:space="preserve">As diferenças entre as duas formas de organização persistem sob a metodologia prudencial comum, ainda que em versão mais restrita do que sugere uma comparação menos criteriosa. O posicionamento institucional ganha precisão quando se apoia nos resultados que resistiram a todas as definições de banco testadas: </w:t>
      </w:r>
      <w:r>
        <w:rPr>
          <w:b/>
          <w:bCs/>
          <w:lang w:val="pt-BR"/>
        </w:rPr>
        <w:t xml:space="preserve">menor custo na mediana e retorno mais estável</w:t>
      </w:r>
      <w:r>
        <w:rPr>
          <w:lang w:val="pt-BR"/>
        </w:rPr>
        <w:t xml:space="preserve">. Em rentabilidade, o argumento correto é o do </w:t>
      </w:r>
      <w:r>
        <w:rPr>
          <w:b/>
          <w:bCs/>
          <w:lang w:val="pt-BR"/>
        </w:rPr>
        <w:t xml:space="preserve">retorno retido</w:t>
      </w:r>
      <w:r>
        <w:rPr>
          <w:lang w:val="pt-BR"/>
        </w:rPr>
        <w:t xml:space="preserve">, que é maior após os tributos; antes deles, a diferença é pequena e não está estabelecida. O argumento de que as cooperativas provisionam de forma mais conservadora que os bancos </w:t>
      </w:r>
      <w:r>
        <w:rPr>
          <w:b/>
          <w:bCs/>
          <w:lang w:val="pt-BR"/>
        </w:rPr>
        <w:t xml:space="preserve">não encontra apoio nos dados</w:t>
      </w:r>
      <w:r>
        <w:rPr>
          <w:lang w:val="pt-BR"/>
        </w:rPr>
        <w:t xml:space="preserve">. O argumento da maior participação do crédito no ativo vale em relação ao conjunto dos bancos do país, mas ainda não foi demonstrado dentro dos mercados regionais.</w:t>
      </w:r>
    </w:p>
    <w:p>
      <w:pPr>
        <w:spacing w:after="120"/>
        <w:ind w:firstLine="720"/>
        <w:jc w:val="both"/>
        <w:rPr>
          <w:lang w:val="pt-BR"/>
        </w:rPr>
      </w:pPr>
      <w:r>
        <w:rPr>
          <w:lang w:val="pt-BR"/>
        </w:rPr>
        <w:t xml:space="preserve">O tratamento tributário do ato cooperativo é a diferença de regras que a metodologia prudencial comum não remove, e os resultados mostram onde ela atua. A isenção de IRPJ e CSLL (Lei 5.764/1971, art. 111; Lei 10.865/2004, art. 39) aparece no retorno retido, que é o único capital que uma cooperativa pode construir, e não aparece nem na margem de intermediação nem no retorno antes dos tributos, que são equivalentes aos dos bancos de mesmo porte. </w:t>
      </w:r>
      <w:r>
        <w:rPr>
          <w:lang w:val="pt-BR"/>
        </w:rPr>
        <w:t xml:space="preserve">A cooperativa retém mais, e o que retém fica na instituição, a serviço do crédito aos associados. Na operação, ela cobra e ganha o mesmo que os bancos de mesmo porte, e por isso </w:t>
      </w:r>
      <w:r>
        <w:rPr>
          <w:b/>
          <w:bCs/>
          <w:lang w:val="pt-BR"/>
        </w:rPr>
        <w:t xml:space="preserve">os dados não sustentam a leitura de vantagem competitiva indevida</w:t>
      </w:r>
      <w:r>
        <w:rPr>
          <w:lang w:val="pt-BR"/>
        </w:rPr>
        <w:t xml:space="preserve">. Pela alíquota efetiva mediana dos bancos, o retorno líquido mediano das cooperativas cairia de cerca de 2,9% para cerca de 2%, e o capital se acumularia cerca de três décimos mais devagar. Lido junto com o FGCoop, fundo privado financiado pelas próprias cooperativas, o regime do ato cooperativo integra a mesma arquitetura: o setor financia o próprio colchão de capital e a própria rede de proteção.</w:t>
      </w:r>
    </w:p>
    <w:p w:rsidR="0030655E" w:rsidP="00A46DFD" w:rsidRDefault="0030655E" w14:paraId="5EF33457" w14:textId="77777777">
      <w:pPr>
        <w:spacing w:after="120"/>
        <w:ind w:firstLine="720"/>
        <w:jc w:val="both"/>
        <w:rPr>
          <w:lang w:val="pt-BR"/>
        </w:rPr>
      </w:pPr>
      <w:r w:rsidRPr="00F675F5">
        <w:rPr>
          <w:lang w:val="pt-BR"/>
        </w:rPr>
        <w:t>Três decisões de análise determinaram a existência ou não dos resultados de destaque: a escolha do grupo de comparação, a leitura das contas de resultado como fluxos trimestrais e a estimação sem ponderação na amostra pareada. Cada uma delas é uma leitura natural dos dados originais, e parte das divergências encontradas na literatura pode refletir grupos de comparação distintos.</w:t>
      </w:r>
    </w:p>
    <w:p w:rsidRPr="00DA7035" w:rsidR="0030655E" w:rsidP="0030655E" w:rsidRDefault="0030655E" w14:paraId="1D3EAEC1" w14:textId="1C7FF12D">
      <w:pPr>
        <w:pStyle w:val="Ttulo1"/>
        <w:rPr>
          <w:lang w:val="pt-BR"/>
        </w:rPr>
      </w:pPr>
      <w:r>
        <w:rPr>
          <w:lang w:val="pt-BR"/>
        </w:rPr>
        <w:t xml:space="preserve">PARTE </w:t>
      </w:r>
      <w:r>
        <w:rPr>
          <w:lang w:val="pt-BR"/>
        </w:rPr>
        <w:t>5</w:t>
      </w:r>
      <w:r>
        <w:rPr>
          <w:lang w:val="pt-BR"/>
        </w:rPr>
        <w:t xml:space="preserve">. </w:t>
      </w:r>
      <w:r>
        <w:rPr>
          <w:lang w:val="pt-BR"/>
        </w:rPr>
        <w:t>LIMITAÇÕES</w:t>
      </w:r>
    </w:p>
    <w:p w:rsidRPr="00BC4FB2" w:rsidR="00BC4FB2" w:rsidP="00E87CC3" w:rsidRDefault="00BC4FB2" w14:paraId="431E2DA6" w14:textId="77777777">
      <w:pPr>
        <w:pStyle w:val="PargrafodaLista"/>
        <w:numPr>
          <w:ilvl w:val="0"/>
          <w:numId w:val="14"/>
        </w:numPr>
        <w:jc w:val="both"/>
        <w:rPr>
          <w:lang w:val="pt-BR"/>
        </w:rPr>
      </w:pPr>
      <w:r w:rsidRPr="00BC4FB2">
        <w:rPr>
          <w:lang w:val="pt-BR"/>
        </w:rPr>
        <w:t>Como a condição de cooperativa não varia no tempo, as estimativas são correlações condicionais e não devem ser lidas como efeitos causais da forma organizacional.</w:t>
      </w:r>
    </w:p>
    <w:p w:rsidRPr="00BC4FB2" w:rsidR="00BC4FB2" w:rsidP="00E87CC3" w:rsidRDefault="00BC4FB2" w14:paraId="77CA031B" w14:textId="77777777">
      <w:pPr>
        <w:pStyle w:val="PargrafodaLista"/>
        <w:numPr>
          <w:ilvl w:val="0"/>
          <w:numId w:val="14"/>
        </w:numPr>
        <w:jc w:val="both"/>
        <w:rPr>
          <w:lang w:val="pt-BR"/>
        </w:rPr>
      </w:pPr>
      <w:r w:rsidRPr="00BC4FB2">
        <w:rPr>
          <w:lang w:val="pt-BR"/>
        </w:rPr>
        <w:t>A restrição à metodologia completa seleciona as maiores cooperativas, cerca de um décimo das registradas no painel, e os resultados se aplicam a essa subpopulação.</w:t>
      </w:r>
    </w:p>
    <w:p w:rsidRPr="00BC4FB2" w:rsidR="00BC4FB2" w:rsidP="00E87CC3" w:rsidRDefault="00BC4FB2" w14:paraId="1BE61FCB" w14:textId="77777777">
      <w:pPr>
        <w:pStyle w:val="PargrafodaLista"/>
        <w:numPr>
          <w:ilvl w:val="0"/>
          <w:numId w:val="14"/>
        </w:numPr>
        <w:jc w:val="both"/>
        <w:rPr>
          <w:lang w:val="pt-BR"/>
        </w:rPr>
      </w:pPr>
      <w:r w:rsidRPr="00BC4FB2">
        <w:rPr>
          <w:lang w:val="pt-BR"/>
        </w:rPr>
        <w:t>O índice de provisionamento é uma variável contábil e não mede a inadimplência efetiva.</w:t>
      </w:r>
    </w:p>
    <w:p w:rsidRPr="00BC4FB2" w:rsidR="00BC4FB2" w:rsidP="00E87CC3" w:rsidRDefault="00BC4FB2" w14:paraId="665E6152" w14:textId="77777777">
      <w:pPr>
        <w:pStyle w:val="PargrafodaLista"/>
        <w:numPr>
          <w:ilvl w:val="0"/>
          <w:numId w:val="14"/>
        </w:numPr>
        <w:jc w:val="both"/>
        <w:rPr>
          <w:lang w:val="pt-BR"/>
        </w:rPr>
      </w:pPr>
      <w:r w:rsidRPr="00BC4FB2">
        <w:rPr>
          <w:lang w:val="pt-BR"/>
        </w:rPr>
        <w:t>Os indicadores de estabilidade são estatísticas calculadas por instituição, sem controle por trimestre, em uma subamostra com pelo menos oito trimestres de dados.</w:t>
      </w:r>
    </w:p>
    <w:p w:rsidRPr="00BC4FB2" w:rsidR="00BC4FB2" w:rsidP="00E87CC3" w:rsidRDefault="00BC4FB2" w14:paraId="4DC877EE" w14:textId="77777777">
      <w:pPr>
        <w:pStyle w:val="PargrafodaLista"/>
        <w:numPr>
          <w:ilvl w:val="0"/>
          <w:numId w:val="14"/>
        </w:numPr>
        <w:jc w:val="both"/>
        <w:rPr>
          <w:lang w:val="pt-BR"/>
        </w:rPr>
      </w:pPr>
      <w:r w:rsidRPr="00BC4FB2">
        <w:rPr>
          <w:lang w:val="pt-BR"/>
        </w:rPr>
        <w:t xml:space="preserve">A maioria dos sistemas tem poucas cooperativas na amostra para inferência separada, e a hipótese do suporte do sistema exige dados consolidados que o </w:t>
      </w:r>
      <w:proofErr w:type="spellStart"/>
      <w:r w:rsidRPr="00BC4FB2">
        <w:rPr>
          <w:lang w:val="pt-BR"/>
        </w:rPr>
        <w:t>IF.data</w:t>
      </w:r>
      <w:proofErr w:type="spellEnd"/>
      <w:r w:rsidRPr="00BC4FB2">
        <w:rPr>
          <w:lang w:val="pt-BR"/>
        </w:rPr>
        <w:t xml:space="preserve"> não contém.</w:t>
      </w:r>
    </w:p>
    <w:p w:rsidR="00BC4FB2" w:rsidP="00E87CC3" w:rsidRDefault="00BC4FB2" w14:paraId="1EADC9F1" w14:textId="77777777">
      <w:pPr>
        <w:pStyle w:val="PargrafodaLista"/>
        <w:numPr>
          <w:ilvl w:val="0"/>
          <w:numId w:val="14"/>
        </w:numPr>
        <w:jc w:val="both"/>
        <w:rPr>
          <w:lang w:val="pt-BR"/>
        </w:rPr>
      </w:pPr>
      <w:r w:rsidRPr="00BC4FB2">
        <w:rPr>
          <w:lang w:val="pt-BR"/>
        </w:rPr>
        <w:t>A macrorregião é uma aproximação grosseira do mercado relevante; a distinção provavelmente mais importante é a do crédito rural.</w:t>
      </w:r>
    </w:p>
    <w:p w:rsidRPr="00DA7035" w:rsidR="00BC4FB2" w:rsidP="00BC4FB2" w:rsidRDefault="00BC4FB2" w14:paraId="5B3CF492" w14:textId="209A0BFD">
      <w:pPr>
        <w:pStyle w:val="Ttulo1"/>
        <w:rPr>
          <w:lang w:val="pt-BR"/>
        </w:rPr>
      </w:pPr>
      <w:r>
        <w:rPr>
          <w:lang w:val="pt-BR"/>
        </w:rPr>
        <w:t xml:space="preserve">PARTE </w:t>
      </w:r>
      <w:r>
        <w:rPr>
          <w:lang w:val="pt-BR"/>
        </w:rPr>
        <w:t>6</w:t>
      </w:r>
      <w:r>
        <w:rPr>
          <w:lang w:val="pt-BR"/>
        </w:rPr>
        <w:t xml:space="preserve">. </w:t>
      </w:r>
      <w:r>
        <w:rPr>
          <w:lang w:val="pt-BR"/>
        </w:rPr>
        <w:t>RECOMENDAÇÕES</w:t>
      </w:r>
    </w:p>
    <w:p w:rsidRPr="00383419" w:rsidR="00383419" w:rsidP="00E87CC3" w:rsidRDefault="00383419" w14:paraId="0ECCA8B5" w14:textId="77777777">
      <w:pPr>
        <w:pStyle w:val="PargrafodaLista"/>
        <w:numPr>
          <w:ilvl w:val="0"/>
          <w:numId w:val="14"/>
        </w:numPr>
        <w:jc w:val="both"/>
        <w:rPr>
          <w:lang w:val="pt-BR"/>
        </w:rPr>
      </w:pPr>
      <w:r w:rsidRPr="00383419">
        <w:rPr>
          <w:lang w:val="pt-BR"/>
        </w:rPr>
        <w:t xml:space="preserve">Levar ao Banco Central a discussão sobre o </w:t>
      </w:r>
      <w:r w:rsidRPr="00923A8A">
        <w:rPr>
          <w:b/>
          <w:lang w:val="pt-BR"/>
        </w:rPr>
        <w:t>tratamento dos sistemas cooperativos e de seus mecanismos de proteção</w:t>
      </w:r>
      <w:r w:rsidRPr="00383419">
        <w:rPr>
          <w:lang w:val="pt-BR"/>
        </w:rPr>
        <w:t xml:space="preserve"> na avaliação de capital e de </w:t>
      </w:r>
      <w:r w:rsidRPr="00383419">
        <w:rPr>
          <w:lang w:val="pt-BR"/>
        </w:rPr>
        <w:lastRenderedPageBreak/>
        <w:t>liquidez, tendo a experiência francesa como referência.</w:t>
      </w:r>
    </w:p>
    <w:p w:rsidRPr="00383419" w:rsidR="00383419" w:rsidP="00E87CC3" w:rsidRDefault="00383419" w14:paraId="5C70DB01" w14:textId="77777777">
      <w:pPr>
        <w:pStyle w:val="PargrafodaLista"/>
        <w:numPr>
          <w:ilvl w:val="0"/>
          <w:numId w:val="14"/>
        </w:numPr>
        <w:jc w:val="both"/>
        <w:rPr>
          <w:lang w:val="pt-BR"/>
        </w:rPr>
      </w:pPr>
      <w:r>
        <w:rPr>
          <w:lang w:val="pt-BR"/>
        </w:rPr>
        <w:t xml:space="preserve">Apoiar o posicionamento institucional nos resultados que resistiram a todas as comparações: </w:t>
      </w:r>
      <w:r>
        <w:rPr>
          <w:b/>
          <w:bCs/>
          <w:lang w:val="pt-BR"/>
        </w:rPr>
        <w:t xml:space="preserve">custo, estabilidade dos retornos e retorno retido após os tributos</w:t>
      </w:r>
      <w:r>
        <w:rPr>
          <w:lang w:val="pt-BR"/>
        </w:rPr>
        <w:t xml:space="preserve">, apresentando a rentabilidade operacional como equivalente à dos bancos.</w:t>
      </w:r>
    </w:p>
    <w:p>
      <w:pPr>
        <w:pStyle w:val="PargrafodaLista"/>
        <w:numPr>
          <w:ilvl w:val="0"/>
          <w:numId w:val="14"/>
        </w:numPr>
        <w:jc w:val="both"/>
        <w:rPr>
          <w:lang w:val="pt-BR"/>
        </w:rPr>
      </w:pPr>
      <w:r>
        <w:rPr>
          <w:lang w:val="pt-BR"/>
        </w:rPr>
        <w:t xml:space="preserve">Usar o estudo na defesa do tratamento tributário do ato cooperativo: </w:t>
      </w:r>
      <w:r>
        <w:rPr>
          <w:b/>
          <w:bCs/>
          <w:lang w:val="pt-BR"/>
        </w:rPr>
        <w:t xml:space="preserve">a isenção se converte em capital retido, com rentabilidade operacional equivalente à dos bancos</w:t>
      </w:r>
      <w:r>
        <w:rPr>
          <w:lang w:val="pt-BR"/>
        </w:rPr>
        <w:t xml:space="preserve">, e esse capital sustenta o crédito aos associados e é financiado, junto com o FGCoop, pelo próprio setor.</w:t>
      </w:r>
    </w:p>
    <w:p w:rsidRPr="00383419" w:rsidR="00383419" w:rsidP="00E87CC3" w:rsidRDefault="00383419" w14:paraId="708E987E" w14:textId="77777777">
      <w:pPr>
        <w:pStyle w:val="PargrafodaLista"/>
        <w:numPr>
          <w:ilvl w:val="0"/>
          <w:numId w:val="14"/>
        </w:numPr>
        <w:jc w:val="both"/>
        <w:rPr>
          <w:lang w:val="pt-BR"/>
        </w:rPr>
      </w:pPr>
      <w:r w:rsidRPr="00923A8A">
        <w:rPr>
          <w:b/>
          <w:lang w:val="pt-BR"/>
        </w:rPr>
        <w:t>Evitar o argumento de provisionamento mais conservador</w:t>
      </w:r>
      <w:r w:rsidRPr="00383419">
        <w:rPr>
          <w:lang w:val="pt-BR"/>
        </w:rPr>
        <w:t xml:space="preserve"> que o dos bancos, que os dados não sustentam.</w:t>
      </w:r>
    </w:p>
    <w:p w:rsidRPr="00383419" w:rsidR="00383419" w:rsidP="00E87CC3" w:rsidRDefault="00383419" w14:paraId="297CFF87" w14:textId="77777777">
      <w:pPr>
        <w:pStyle w:val="PargrafodaLista"/>
        <w:numPr>
          <w:ilvl w:val="0"/>
          <w:numId w:val="14"/>
        </w:numPr>
        <w:jc w:val="both"/>
        <w:rPr>
          <w:lang w:val="pt-BR"/>
        </w:rPr>
      </w:pPr>
      <w:r w:rsidRPr="00383419">
        <w:rPr>
          <w:lang w:val="pt-BR"/>
        </w:rPr>
        <w:t xml:space="preserve">Ampliar a análise com os relatórios de carteira de crédito por modalidade do </w:t>
      </w:r>
      <w:proofErr w:type="spellStart"/>
      <w:r w:rsidRPr="00383419">
        <w:rPr>
          <w:lang w:val="pt-BR"/>
        </w:rPr>
        <w:t>IF.data</w:t>
      </w:r>
      <w:proofErr w:type="spellEnd"/>
      <w:r w:rsidRPr="00383419">
        <w:rPr>
          <w:lang w:val="pt-BR"/>
        </w:rPr>
        <w:t>, para testar a diferença de participação do crédito dentro dos mercados regionais.</w:t>
      </w:r>
    </w:p>
    <w:p w:rsidRPr="00383419" w:rsidR="00383419" w:rsidP="00E87CC3" w:rsidRDefault="00383419" w14:paraId="3B63AB4B" w14:textId="77777777">
      <w:pPr>
        <w:pStyle w:val="PargrafodaLista"/>
        <w:numPr>
          <w:ilvl w:val="0"/>
          <w:numId w:val="14"/>
        </w:numPr>
        <w:jc w:val="both"/>
        <w:rPr>
          <w:lang w:val="pt-BR"/>
        </w:rPr>
      </w:pPr>
      <w:r w:rsidRPr="00383419">
        <w:rPr>
          <w:lang w:val="pt-BR"/>
        </w:rPr>
        <w:t>Reunir dados consolidados dos sistemas cooperativos para testar a hipótese do suporte do sistema.</w:t>
      </w:r>
    </w:p>
    <w:p w:rsidRPr="00383419" w:rsidR="00383419" w:rsidP="00E87CC3" w:rsidRDefault="00383419" w14:paraId="79AF407F" w14:textId="77777777">
      <w:pPr>
        <w:pStyle w:val="PargrafodaLista"/>
        <w:numPr>
          <w:ilvl w:val="0"/>
          <w:numId w:val="14"/>
        </w:numPr>
        <w:jc w:val="both"/>
        <w:rPr>
          <w:lang w:val="pt-BR"/>
        </w:rPr>
      </w:pPr>
      <w:r w:rsidRPr="00383419">
        <w:rPr>
          <w:lang w:val="pt-BR"/>
        </w:rPr>
        <w:t>Atualizar o estudo anualmente, com a rotina pública de reprodução, e acompanhar os efeitos da revisão das regras de capital de 2022 e da Resolução CMN 4.966/2021.</w:t>
      </w:r>
    </w:p>
    <w:p w:rsidR="0030655E" w:rsidP="006733C4" w:rsidRDefault="00383419" w14:paraId="08DE72E7" w14:textId="54705822">
      <w:pPr>
        <w:pStyle w:val="Ttulo1"/>
        <w:rPr>
          <w:lang w:val="pt-BR"/>
        </w:rPr>
      </w:pPr>
      <w:r>
        <w:rPr>
          <w:lang w:val="pt-BR"/>
        </w:rPr>
        <w:t>NOTA METODOLÓGICA</w:t>
      </w:r>
    </w:p>
    <w:p w:rsidRPr="00F675F5" w:rsidR="006733C4" w:rsidP="001D4F90" w:rsidRDefault="006733C4" w14:paraId="68E45B73" w14:textId="77777777">
      <w:pPr>
        <w:spacing w:after="120"/>
        <w:ind w:firstLine="720"/>
        <w:jc w:val="both"/>
        <w:rPr>
          <w:lang w:val="pt-BR"/>
        </w:rPr>
      </w:pPr>
      <w:r w:rsidRPr="00F675F5">
        <w:rPr>
          <w:lang w:val="pt-BR"/>
        </w:rPr>
        <w:t xml:space="preserve">Os resultados provêm de um único conjunto de rotinas executado sobre os arquivos públicos do </w:t>
      </w:r>
      <w:proofErr w:type="spellStart"/>
      <w:r w:rsidRPr="00F675F5">
        <w:rPr>
          <w:lang w:val="pt-BR"/>
        </w:rPr>
        <w:t>IF.data</w:t>
      </w:r>
      <w:proofErr w:type="spellEnd"/>
      <w:r w:rsidRPr="00F675F5">
        <w:rPr>
          <w:lang w:val="pt-BR"/>
        </w:rPr>
        <w:t>, em que cada grupo de comparação, faixa de pareamento, regra de tratamento de valores extremos e teste de sensibilidade é um parâmetro. As tabelas e figuras são geradas diretamente dos arquivos de resultado, sem transcrição manual. A reexecução completa das rotinas a partir de um diretório vazio reproduz todos os arquivos de resultado, tabelas e figuras de forma idêntica.</w:t>
      </w:r>
    </w:p>
    <w:p w:rsidRPr="00F675F5" w:rsidR="006733C4" w:rsidP="001D4F90" w:rsidRDefault="006733C4" w14:paraId="1B952871" w14:textId="77777777">
      <w:pPr>
        <w:spacing w:after="120"/>
        <w:ind w:firstLine="720"/>
        <w:jc w:val="both"/>
        <w:rPr>
          <w:lang w:val="pt-BR"/>
        </w:rPr>
      </w:pPr>
      <w:r w:rsidRPr="00F675F5">
        <w:rPr>
          <w:lang w:val="pt-BR"/>
        </w:rPr>
        <w:t xml:space="preserve">O estimador de pareamento pondera as unidades de controle de modo que a razão entre tratados e controles seja a mesma em cada estrato. A regressão simples na amostra pareada não recupera esse estimando, e por isso os dois são apresentados. A inferência utiliza erros-padrão agrupados por instituição e um </w:t>
      </w:r>
      <w:proofErr w:type="spellStart"/>
      <w:r w:rsidRPr="00F675F5">
        <w:rPr>
          <w:lang w:val="pt-BR"/>
        </w:rPr>
        <w:t>bootstrap</w:t>
      </w:r>
      <w:proofErr w:type="spellEnd"/>
      <w:r w:rsidRPr="00F675F5">
        <w:rPr>
          <w:lang w:val="pt-BR"/>
        </w:rPr>
        <w:t xml:space="preserve"> selvagem restrito com pesos de </w:t>
      </w:r>
      <w:proofErr w:type="spellStart"/>
      <w:r w:rsidRPr="00F675F5">
        <w:rPr>
          <w:lang w:val="pt-BR"/>
        </w:rPr>
        <w:t>Rademacher</w:t>
      </w:r>
      <w:proofErr w:type="spellEnd"/>
      <w:r w:rsidRPr="00F675F5">
        <w:rPr>
          <w:lang w:val="pt-BR"/>
        </w:rPr>
        <w:t>. Em simulações com seis grupos tratados, o teste agrupado convencional rejeita uma hipótese nula verdadeira em 16% dos casos, contra o nível nominal de 5%. Os indicadores de estabilidade são estimados com uma observação por instituição, tendo a média do logaritmo do ativo como controle de porte.</w:t>
      </w:r>
    </w:p>
    <w:p w:rsidR="006733C4" w:rsidP="001D4F90" w:rsidRDefault="006733C4" w14:paraId="443D437A" w14:textId="738933A6">
      <w:pPr>
        <w:spacing w:after="120"/>
        <w:ind w:firstLine="720"/>
        <w:jc w:val="both"/>
        <w:rPr>
          <w:lang w:val="pt-BR"/>
        </w:rPr>
      </w:pPr>
      <w:r w:rsidRPr="00F675F5">
        <w:rPr>
          <w:lang w:val="pt-BR"/>
        </w:rPr>
        <w:t>Este documento resume o artigo "</w:t>
      </w:r>
      <w:proofErr w:type="spellStart"/>
      <w:r w:rsidRPr="00F675F5">
        <w:rPr>
          <w:lang w:val="pt-BR"/>
        </w:rPr>
        <w:t>Institutional</w:t>
      </w:r>
      <w:proofErr w:type="spellEnd"/>
      <w:r w:rsidRPr="00F675F5">
        <w:rPr>
          <w:lang w:val="pt-BR"/>
        </w:rPr>
        <w:t xml:space="preserve"> Profiles </w:t>
      </w:r>
      <w:proofErr w:type="spellStart"/>
      <w:r w:rsidRPr="00F675F5">
        <w:rPr>
          <w:lang w:val="pt-BR"/>
        </w:rPr>
        <w:t>Under</w:t>
      </w:r>
      <w:proofErr w:type="spellEnd"/>
      <w:r w:rsidRPr="00F675F5">
        <w:rPr>
          <w:lang w:val="pt-BR"/>
        </w:rPr>
        <w:t xml:space="preserve"> a Common Prudential Framework: </w:t>
      </w:r>
      <w:proofErr w:type="spellStart"/>
      <w:r w:rsidRPr="00F675F5">
        <w:rPr>
          <w:lang w:val="pt-BR"/>
        </w:rPr>
        <w:t>Evidence</w:t>
      </w:r>
      <w:proofErr w:type="spellEnd"/>
      <w:r w:rsidRPr="00F675F5">
        <w:rPr>
          <w:lang w:val="pt-BR"/>
        </w:rPr>
        <w:t xml:space="preserve"> </w:t>
      </w:r>
      <w:proofErr w:type="spellStart"/>
      <w:r w:rsidRPr="00F675F5">
        <w:rPr>
          <w:lang w:val="pt-BR"/>
        </w:rPr>
        <w:t>from</w:t>
      </w:r>
      <w:proofErr w:type="spellEnd"/>
      <w:r w:rsidRPr="00F675F5">
        <w:rPr>
          <w:lang w:val="pt-BR"/>
        </w:rPr>
        <w:t xml:space="preserve"> </w:t>
      </w:r>
      <w:proofErr w:type="spellStart"/>
      <w:r w:rsidRPr="00F675F5">
        <w:rPr>
          <w:lang w:val="pt-BR"/>
        </w:rPr>
        <w:t>Brazilian</w:t>
      </w:r>
      <w:proofErr w:type="spellEnd"/>
      <w:r w:rsidRPr="00F675F5">
        <w:rPr>
          <w:lang w:val="pt-BR"/>
        </w:rPr>
        <w:t xml:space="preserve"> Credit Cooperatives and Banks", dos mesmos autores, submetido à ICA CCR </w:t>
      </w:r>
      <w:proofErr w:type="spellStart"/>
      <w:r w:rsidRPr="00F675F5">
        <w:rPr>
          <w:lang w:val="pt-BR"/>
        </w:rPr>
        <w:t>Europe</w:t>
      </w:r>
      <w:proofErr w:type="spellEnd"/>
      <w:r w:rsidRPr="00F675F5">
        <w:rPr>
          <w:lang w:val="pt-BR"/>
        </w:rPr>
        <w:t xml:space="preserve"> </w:t>
      </w:r>
      <w:proofErr w:type="spellStart"/>
      <w:r w:rsidRPr="00F675F5">
        <w:rPr>
          <w:lang w:val="pt-BR"/>
        </w:rPr>
        <w:t>Research</w:t>
      </w:r>
      <w:proofErr w:type="spellEnd"/>
      <w:r w:rsidRPr="00F675F5">
        <w:rPr>
          <w:lang w:val="pt-BR"/>
        </w:rPr>
        <w:t xml:space="preserve"> </w:t>
      </w:r>
      <w:proofErr w:type="spellStart"/>
      <w:r w:rsidRPr="00F675F5">
        <w:rPr>
          <w:lang w:val="pt-BR"/>
        </w:rPr>
        <w:t>Conference</w:t>
      </w:r>
      <w:proofErr w:type="spellEnd"/>
      <w:r w:rsidRPr="00F675F5">
        <w:rPr>
          <w:lang w:val="pt-BR"/>
        </w:rPr>
        <w:t xml:space="preserve"> 2026. O artigo contém a descrição completa dos dados, das especificações e dos testes.</w:t>
      </w:r>
    </w:p>
    <w:p w:rsidR="006733C4" w:rsidP="006733C4" w:rsidRDefault="006733C4" w14:paraId="61BE9695" w14:textId="41F6CE80">
      <w:pPr>
        <w:pStyle w:val="Ttulo1"/>
        <w:rPr>
          <w:lang w:val="pt-BR"/>
        </w:rPr>
      </w:pPr>
      <w:r>
        <w:rPr>
          <w:lang w:val="pt-BR"/>
        </w:rPr>
        <w:lastRenderedPageBreak/>
        <w:t>REFERÊNCIAS</w:t>
      </w:r>
    </w:p>
    <w:p w:rsidRPr="00F675F5" w:rsidR="006006C6" w:rsidP="006006C6" w:rsidRDefault="006006C6" w14:paraId="65F75775" w14:textId="77777777">
      <w:pPr>
        <w:spacing w:after="80" w:line="264" w:lineRule="auto"/>
        <w:ind w:left="454" w:hanging="454"/>
        <w:rPr>
          <w:lang w:val="pt-BR"/>
        </w:rPr>
      </w:pPr>
      <w:r w:rsidRPr="00F675F5">
        <w:rPr>
          <w:sz w:val="18"/>
          <w:szCs w:val="18"/>
          <w:lang w:val="pt-BR"/>
        </w:rPr>
        <w:t xml:space="preserve">Banco Central do Brasil. </w:t>
      </w:r>
      <w:r w:rsidRPr="006006C6">
        <w:rPr>
          <w:sz w:val="18"/>
          <w:szCs w:val="18"/>
          <w:lang w:val="pt-BR"/>
        </w:rPr>
        <w:t xml:space="preserve">(2026). </w:t>
      </w:r>
      <w:r w:rsidRPr="00F675F5">
        <w:rPr>
          <w:i/>
          <w:iCs/>
          <w:sz w:val="18"/>
          <w:szCs w:val="18"/>
          <w:lang w:val="pt-BR"/>
        </w:rPr>
        <w:t>Panorama do Sistema Nacional de Crédito Cooperativo: data-base dezembro de 2025</w:t>
      </w:r>
      <w:r w:rsidRPr="00F675F5">
        <w:rPr>
          <w:sz w:val="18"/>
          <w:szCs w:val="18"/>
          <w:lang w:val="pt-BR"/>
        </w:rPr>
        <w:t xml:space="preserve">. </w:t>
      </w:r>
    </w:p>
    <w:p w:rsidR="006006C6" w:rsidP="006006C6" w:rsidRDefault="006006C6" w14:paraId="5CE31A30" w14:textId="77777777">
      <w:pPr>
        <w:spacing w:after="80" w:line="264" w:lineRule="auto"/>
        <w:ind w:left="454" w:hanging="454"/>
      </w:pPr>
      <w:r>
        <w:rPr>
          <w:sz w:val="18"/>
          <w:szCs w:val="18"/>
        </w:rPr>
        <w:t xml:space="preserve">Basel Committee on Banking Supervision. (2011). </w:t>
      </w:r>
      <w:r>
        <w:rPr>
          <w:i/>
          <w:iCs/>
          <w:sz w:val="18"/>
          <w:szCs w:val="18"/>
        </w:rPr>
        <w:t>Basel III: A global regulatory framework for more resilient banks and banking systems</w:t>
      </w:r>
      <w:r>
        <w:rPr>
          <w:sz w:val="18"/>
          <w:szCs w:val="18"/>
        </w:rPr>
        <w:t xml:space="preserve">. Bank for International Settlements. </w:t>
      </w:r>
    </w:p>
    <w:p w:rsidR="006006C6" w:rsidP="006006C6" w:rsidRDefault="006006C6" w14:paraId="0F7098DA" w14:textId="77777777">
      <w:pPr>
        <w:spacing w:after="80" w:line="264" w:lineRule="auto"/>
        <w:ind w:left="454" w:hanging="454"/>
      </w:pPr>
      <w:r>
        <w:rPr>
          <w:sz w:val="18"/>
          <w:szCs w:val="18"/>
        </w:rPr>
        <w:t xml:space="preserve">Basel Committee on Banking Supervision. (2019). </w:t>
      </w:r>
      <w:r>
        <w:rPr>
          <w:i/>
          <w:iCs/>
          <w:sz w:val="18"/>
          <w:szCs w:val="18"/>
        </w:rPr>
        <w:t>Proportionality in bank regulation and supervision: A survey on current practices</w:t>
      </w:r>
      <w:r>
        <w:rPr>
          <w:sz w:val="18"/>
          <w:szCs w:val="18"/>
        </w:rPr>
        <w:t xml:space="preserve">. Bank for International Settlements. </w:t>
      </w:r>
    </w:p>
    <w:p w:rsidR="006006C6" w:rsidP="006006C6" w:rsidRDefault="006006C6" w14:paraId="6DA4AEDF" w14:textId="77777777">
      <w:pPr>
        <w:spacing w:after="80" w:line="264" w:lineRule="auto"/>
        <w:ind w:left="454" w:hanging="454"/>
      </w:pPr>
      <w:r>
        <w:rPr>
          <w:sz w:val="18"/>
          <w:szCs w:val="18"/>
        </w:rPr>
        <w:t xml:space="preserve">Cameron, A. C., Gelbach, J. B., &amp; Miller, D. L. (2008). Bootstrap-based improvements for inference with clustered errors. </w:t>
      </w:r>
      <w:r>
        <w:rPr>
          <w:i/>
          <w:iCs/>
          <w:sz w:val="18"/>
          <w:szCs w:val="18"/>
        </w:rPr>
        <w:t>Review of Economics and Statistics</w:t>
      </w:r>
      <w:r>
        <w:rPr>
          <w:sz w:val="18"/>
          <w:szCs w:val="18"/>
        </w:rPr>
        <w:t xml:space="preserve">, </w:t>
      </w:r>
      <w:r>
        <w:rPr>
          <w:i/>
          <w:iCs/>
          <w:sz w:val="18"/>
          <w:szCs w:val="18"/>
        </w:rPr>
        <w:t>90</w:t>
      </w:r>
      <w:r>
        <w:rPr>
          <w:sz w:val="18"/>
          <w:szCs w:val="18"/>
        </w:rPr>
        <w:t>(3), 414–427. https://doi.org/10.1162/rest.90.3.414</w:t>
      </w:r>
    </w:p>
    <w:p w:rsidRPr="00F675F5" w:rsidR="006006C6" w:rsidP="006006C6" w:rsidRDefault="006006C6" w14:paraId="61D58C62" w14:textId="77777777">
      <w:pPr>
        <w:spacing w:after="80" w:line="264" w:lineRule="auto"/>
        <w:ind w:left="454" w:hanging="454"/>
        <w:rPr>
          <w:lang w:val="pt-BR"/>
        </w:rPr>
      </w:pPr>
      <w:r>
        <w:rPr>
          <w:sz w:val="18"/>
          <w:szCs w:val="18"/>
        </w:rPr>
        <w:t xml:space="preserve">Coelho, R., Mazzillo, J. A., </w:t>
      </w:r>
      <w:proofErr w:type="spellStart"/>
      <w:r>
        <w:rPr>
          <w:sz w:val="18"/>
          <w:szCs w:val="18"/>
        </w:rPr>
        <w:t>Svoronos</w:t>
      </w:r>
      <w:proofErr w:type="spellEnd"/>
      <w:r>
        <w:rPr>
          <w:sz w:val="18"/>
          <w:szCs w:val="18"/>
        </w:rPr>
        <w:t xml:space="preserve">, J.-P., &amp; Yu, T. (2019). </w:t>
      </w:r>
      <w:r>
        <w:rPr>
          <w:i/>
          <w:iCs/>
          <w:sz w:val="18"/>
          <w:szCs w:val="18"/>
        </w:rPr>
        <w:t>Regulation and supervision of financial cooperatives</w:t>
      </w:r>
      <w:r>
        <w:rPr>
          <w:sz w:val="18"/>
          <w:szCs w:val="18"/>
        </w:rPr>
        <w:t xml:space="preserve"> (FSI Insights on Policy Implementation No. 15). </w:t>
      </w:r>
      <w:r w:rsidRPr="00F675F5">
        <w:rPr>
          <w:sz w:val="18"/>
          <w:szCs w:val="18"/>
          <w:lang w:val="pt-BR"/>
        </w:rPr>
        <w:t xml:space="preserve">Bank for International </w:t>
      </w:r>
      <w:proofErr w:type="spellStart"/>
      <w:r w:rsidRPr="00F675F5">
        <w:rPr>
          <w:sz w:val="18"/>
          <w:szCs w:val="18"/>
          <w:lang w:val="pt-BR"/>
        </w:rPr>
        <w:t>Settlements</w:t>
      </w:r>
      <w:proofErr w:type="spellEnd"/>
      <w:r w:rsidRPr="00F675F5">
        <w:rPr>
          <w:sz w:val="18"/>
          <w:szCs w:val="18"/>
          <w:lang w:val="pt-BR"/>
        </w:rPr>
        <w:t xml:space="preserve">, Financial </w:t>
      </w:r>
      <w:proofErr w:type="spellStart"/>
      <w:r w:rsidRPr="00F675F5">
        <w:rPr>
          <w:sz w:val="18"/>
          <w:szCs w:val="18"/>
          <w:lang w:val="pt-BR"/>
        </w:rPr>
        <w:t>Stability</w:t>
      </w:r>
      <w:proofErr w:type="spellEnd"/>
      <w:r w:rsidRPr="00F675F5">
        <w:rPr>
          <w:sz w:val="18"/>
          <w:szCs w:val="18"/>
          <w:lang w:val="pt-BR"/>
        </w:rPr>
        <w:t xml:space="preserve"> </w:t>
      </w:r>
      <w:proofErr w:type="spellStart"/>
      <w:r w:rsidRPr="00F675F5">
        <w:rPr>
          <w:sz w:val="18"/>
          <w:szCs w:val="18"/>
          <w:lang w:val="pt-BR"/>
        </w:rPr>
        <w:t>Institute</w:t>
      </w:r>
      <w:proofErr w:type="spellEnd"/>
      <w:r w:rsidRPr="00F675F5">
        <w:rPr>
          <w:sz w:val="18"/>
          <w:szCs w:val="18"/>
          <w:lang w:val="pt-BR"/>
        </w:rPr>
        <w:t xml:space="preserve">. </w:t>
      </w:r>
    </w:p>
    <w:p w:rsidRPr="00F675F5" w:rsidR="006006C6" w:rsidP="006006C6" w:rsidRDefault="006006C6" w14:paraId="587770AE" w14:textId="77777777">
      <w:pPr>
        <w:spacing w:after="80" w:line="264" w:lineRule="auto"/>
        <w:ind w:left="454" w:hanging="454"/>
        <w:rPr>
          <w:lang w:val="pt-BR"/>
        </w:rPr>
      </w:pPr>
      <w:r w:rsidRPr="00F675F5">
        <w:rPr>
          <w:sz w:val="18"/>
          <w:szCs w:val="18"/>
          <w:lang w:val="pt-BR"/>
        </w:rPr>
        <w:t xml:space="preserve">Conselho Monetário Nacional. (2017a). </w:t>
      </w:r>
      <w:r w:rsidRPr="00F675F5">
        <w:rPr>
          <w:i/>
          <w:iCs/>
          <w:sz w:val="18"/>
          <w:szCs w:val="18"/>
          <w:lang w:val="pt-BR"/>
        </w:rPr>
        <w:t>Resolução nº 4.553, de 30 de janeiro de 2017. Segmentação do conjunto das instituições financeiras para fins de aplicação proporcional da regulação prudencial</w:t>
      </w:r>
      <w:r w:rsidRPr="00F675F5">
        <w:rPr>
          <w:sz w:val="18"/>
          <w:szCs w:val="18"/>
          <w:lang w:val="pt-BR"/>
        </w:rPr>
        <w:t>. Banco Central do Brasil. https://normativos.bcb.gov.br/Lists/Normativos/Attachments/50335/Res_4553_v2_L.pdf</w:t>
      </w:r>
    </w:p>
    <w:p w:rsidRPr="00F675F5" w:rsidR="006006C6" w:rsidP="006006C6" w:rsidRDefault="006006C6" w14:paraId="792A9E52" w14:textId="77777777">
      <w:pPr>
        <w:spacing w:after="80" w:line="264" w:lineRule="auto"/>
        <w:ind w:left="454" w:hanging="454"/>
        <w:rPr>
          <w:lang w:val="pt-BR"/>
        </w:rPr>
      </w:pPr>
      <w:r w:rsidRPr="00F675F5">
        <w:rPr>
          <w:sz w:val="18"/>
          <w:szCs w:val="18"/>
          <w:lang w:val="pt-BR"/>
        </w:rPr>
        <w:t xml:space="preserve">Conselho Monetário Nacional. (2017b). </w:t>
      </w:r>
      <w:r w:rsidRPr="00F675F5">
        <w:rPr>
          <w:i/>
          <w:iCs/>
          <w:sz w:val="18"/>
          <w:szCs w:val="18"/>
          <w:lang w:val="pt-BR"/>
        </w:rPr>
        <w:t>Resolução nº 4.606, de 19 de outubro de 2017. Metodologia facultativa simplificada para apuração do requerimento mínimo de Patrimônio de Referência Simplificado (PRS5)</w:t>
      </w:r>
      <w:r w:rsidRPr="00F675F5">
        <w:rPr>
          <w:sz w:val="18"/>
          <w:szCs w:val="18"/>
          <w:lang w:val="pt-BR"/>
        </w:rPr>
        <w:t>. Banco Central do Brasil. https://normativos.bcb.gov.br/Lists/Normativos/Attachments/50454/Res_4606_v5_P.pdf</w:t>
      </w:r>
    </w:p>
    <w:p w:rsidRPr="00F675F5" w:rsidR="006006C6" w:rsidP="006006C6" w:rsidRDefault="006006C6" w14:paraId="7308AB31" w14:textId="77777777">
      <w:pPr>
        <w:spacing w:after="80" w:line="264" w:lineRule="auto"/>
        <w:ind w:left="454" w:hanging="454"/>
        <w:rPr>
          <w:lang w:val="pt-BR"/>
        </w:rPr>
      </w:pPr>
      <w:r w:rsidRPr="00F675F5">
        <w:rPr>
          <w:sz w:val="18"/>
          <w:szCs w:val="18"/>
          <w:lang w:val="pt-BR"/>
        </w:rPr>
        <w:t xml:space="preserve">Conselho Monetário Nacional. (2022). </w:t>
      </w:r>
      <w:r w:rsidRPr="00F675F5">
        <w:rPr>
          <w:i/>
          <w:iCs/>
          <w:sz w:val="18"/>
          <w:szCs w:val="18"/>
          <w:lang w:val="pt-BR"/>
        </w:rPr>
        <w:t>Resolução nº 5.051, de 25 de novembro de 2022. Dispõe sobre a organização e o funcionamento de cooperativas de crédito</w:t>
      </w:r>
      <w:r w:rsidRPr="00F675F5">
        <w:rPr>
          <w:sz w:val="18"/>
          <w:szCs w:val="18"/>
          <w:lang w:val="pt-BR"/>
        </w:rPr>
        <w:t xml:space="preserve">. Diário Oficial da União, 28 de novembro de 2022, Seção 1, pp. 25–28. </w:t>
      </w:r>
    </w:p>
    <w:p w:rsidR="006006C6" w:rsidP="006006C6" w:rsidRDefault="006006C6" w14:paraId="2E9C7D4C" w14:textId="77777777">
      <w:pPr>
        <w:spacing w:after="80" w:line="264" w:lineRule="auto"/>
        <w:ind w:left="454" w:hanging="454"/>
      </w:pPr>
      <w:proofErr w:type="spellStart"/>
      <w:r w:rsidRPr="00F675F5">
        <w:rPr>
          <w:sz w:val="18"/>
          <w:szCs w:val="18"/>
          <w:lang w:val="pt-BR"/>
        </w:rPr>
        <w:t>Fonteyne</w:t>
      </w:r>
      <w:proofErr w:type="spellEnd"/>
      <w:r w:rsidRPr="00F675F5">
        <w:rPr>
          <w:sz w:val="18"/>
          <w:szCs w:val="18"/>
          <w:lang w:val="pt-BR"/>
        </w:rPr>
        <w:t xml:space="preserve">, W. (2007). </w:t>
      </w:r>
      <w:r>
        <w:rPr>
          <w:i/>
          <w:iCs/>
          <w:sz w:val="18"/>
          <w:szCs w:val="18"/>
        </w:rPr>
        <w:t>Cooperative banks in Europe: Policy issues</w:t>
      </w:r>
      <w:r>
        <w:rPr>
          <w:sz w:val="18"/>
          <w:szCs w:val="18"/>
        </w:rPr>
        <w:t xml:space="preserve"> (IMF Working Paper No. WP/07/159). International Monetary Fund. https://doi.org/10.5089/9781451867237.001</w:t>
      </w:r>
    </w:p>
    <w:p w:rsidR="006006C6" w:rsidP="006006C6" w:rsidRDefault="006006C6" w14:paraId="447FA83F" w14:textId="77777777">
      <w:pPr>
        <w:spacing w:after="80" w:line="264" w:lineRule="auto"/>
        <w:ind w:left="454" w:hanging="454"/>
      </w:pPr>
      <w:r>
        <w:rPr>
          <w:sz w:val="18"/>
          <w:szCs w:val="18"/>
        </w:rPr>
        <w:t xml:space="preserve">Hesse, H., &amp; Čihák, M. (2007). </w:t>
      </w:r>
      <w:r>
        <w:rPr>
          <w:i/>
          <w:iCs/>
          <w:sz w:val="18"/>
          <w:szCs w:val="18"/>
        </w:rPr>
        <w:t>Cooperative banks and financial stability</w:t>
      </w:r>
      <w:r>
        <w:rPr>
          <w:sz w:val="18"/>
          <w:szCs w:val="18"/>
        </w:rPr>
        <w:t xml:space="preserve"> (IMF Working Paper No. WP/07/2). International Monetary Fund. https://doi.org/10.5089/9781451865660.001</w:t>
      </w:r>
    </w:p>
    <w:p w:rsidR="006006C6" w:rsidP="006006C6" w:rsidRDefault="006006C6" w14:paraId="70665858" w14:textId="77777777">
      <w:pPr>
        <w:spacing w:after="80" w:line="264" w:lineRule="auto"/>
        <w:ind w:left="454" w:hanging="454"/>
      </w:pPr>
      <w:r>
        <w:rPr>
          <w:sz w:val="18"/>
          <w:szCs w:val="18"/>
        </w:rPr>
        <w:t xml:space="preserve">Iacus, S. M., King, G., &amp; Porro, G. (2012). Causal inference without balance checking: Coarsened exact matching. </w:t>
      </w:r>
      <w:r>
        <w:rPr>
          <w:i/>
          <w:iCs/>
          <w:sz w:val="18"/>
          <w:szCs w:val="18"/>
        </w:rPr>
        <w:t>Political Analysis</w:t>
      </w:r>
      <w:r>
        <w:rPr>
          <w:sz w:val="18"/>
          <w:szCs w:val="18"/>
        </w:rPr>
        <w:t xml:space="preserve">, </w:t>
      </w:r>
      <w:r>
        <w:rPr>
          <w:i/>
          <w:iCs/>
          <w:sz w:val="18"/>
          <w:szCs w:val="18"/>
        </w:rPr>
        <w:t>20</w:t>
      </w:r>
      <w:r>
        <w:rPr>
          <w:sz w:val="18"/>
          <w:szCs w:val="18"/>
        </w:rPr>
        <w:t>(1), 1–24. https://doi.org/10.1093/pan/mpr013</w:t>
      </w:r>
    </w:p>
    <w:p w:rsidR="006006C6" w:rsidP="006006C6" w:rsidRDefault="006006C6" w14:paraId="2158118B" w14:textId="77777777">
      <w:pPr>
        <w:spacing w:after="80" w:line="264" w:lineRule="auto"/>
        <w:ind w:left="454" w:hanging="454"/>
      </w:pPr>
      <w:r>
        <w:rPr>
          <w:sz w:val="18"/>
          <w:szCs w:val="18"/>
        </w:rPr>
        <w:t xml:space="preserve">McKillop, D., French, D., Quinn, B., Sobiech, A. L., &amp; Wilson, J. O. S. (2020). Cooperative financial institutions: A review of </w:t>
      </w:r>
      <w:proofErr w:type="gramStart"/>
      <w:r>
        <w:rPr>
          <w:sz w:val="18"/>
          <w:szCs w:val="18"/>
        </w:rPr>
        <w:t>the literature</w:t>
      </w:r>
      <w:proofErr w:type="gramEnd"/>
      <w:r>
        <w:rPr>
          <w:sz w:val="18"/>
          <w:szCs w:val="18"/>
        </w:rPr>
        <w:t xml:space="preserve">. </w:t>
      </w:r>
      <w:r>
        <w:rPr>
          <w:i/>
          <w:iCs/>
          <w:sz w:val="18"/>
          <w:szCs w:val="18"/>
        </w:rPr>
        <w:t>International Review of Financial Analysis</w:t>
      </w:r>
      <w:r>
        <w:rPr>
          <w:sz w:val="18"/>
          <w:szCs w:val="18"/>
        </w:rPr>
        <w:t xml:space="preserve">, </w:t>
      </w:r>
      <w:r>
        <w:rPr>
          <w:i/>
          <w:iCs/>
          <w:sz w:val="18"/>
          <w:szCs w:val="18"/>
        </w:rPr>
        <w:t>71</w:t>
      </w:r>
      <w:r>
        <w:rPr>
          <w:sz w:val="18"/>
          <w:szCs w:val="18"/>
        </w:rPr>
        <w:t>, 101520. https://doi.org/10.1016/j.irfa.2020.101520</w:t>
      </w:r>
    </w:p>
    <w:sectPr w:rsidR="006006C6">
      <w:headerReference w:type="even" r:id="rId19"/>
      <w:headerReference w:type="default" r:id="rId20"/>
      <w:footerReference w:type="even" r:id="rId21"/>
      <w:footerReference w:type="default" r:id="rId22"/>
      <w:headerReference w:type="first" r:id="rId23"/>
      <w:footerReference w:type="first" r:id="rId24"/>
      <w:type w:val="continuous"/>
      <w:pgSz w:w="11906" w:h="16838" w:orient="portrait" w:code="9"/>
      <w:pgMar w:top="1701" w:right="1021" w:bottom="1418" w:left="1021" w:header="1134" w:footer="9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CFB" w:rsidP="007444F0" w:rsidRDefault="00C66CFB" w14:paraId="216AA49C" w14:textId="77777777">
      <w:pPr>
        <w:spacing w:line="240" w:lineRule="auto"/>
      </w:pPr>
      <w:r>
        <w:separator/>
      </w:r>
    </w:p>
  </w:endnote>
  <w:endnote w:type="continuationSeparator" w:id="0">
    <w:p w:rsidR="00C66CFB" w:rsidP="007444F0" w:rsidRDefault="00C66CFB" w14:paraId="2639886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3C14" w:rsidRDefault="00C93C14" w14:paraId="1A3976FC"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549806950"/>
      <w:docPartObj>
        <w:docPartGallery w:val="Page Numbers (Bottom of Page)"/>
        <w:docPartUnique/>
      </w:docPartObj>
    </w:sdtPr>
    <w:sdtEndPr>
      <w:rPr>
        <w:color w:val="003974"/>
      </w:rPr>
    </w:sdtEndPr>
    <w:sdtContent>
      <w:p w:rsidR="007444F0" w:rsidP="001D6FA4" w:rsidRDefault="00645D82" w14:paraId="4B77C804" w14:textId="6328238E">
        <w:pPr>
          <w:pStyle w:val="Rodap"/>
          <w:jc w:val="center"/>
        </w:pPr>
        <w:r w:rsidRPr="00316AB1">
          <w:rPr>
            <w:noProof/>
            <w:color w:val="003974"/>
          </w:rPr>
          <w:drawing>
            <wp:anchor distT="0" distB="0" distL="114300" distR="114300" simplePos="0" relativeHeight="251658241" behindDoc="1" locked="0" layoutInCell="1" allowOverlap="1" wp14:anchorId="4662B2C3" wp14:editId="78D8BBCF">
              <wp:simplePos x="0" y="0"/>
              <wp:positionH relativeFrom="page">
                <wp:align>left</wp:align>
              </wp:positionH>
              <wp:positionV relativeFrom="paragraph">
                <wp:posOffset>-267532</wp:posOffset>
              </wp:positionV>
              <wp:extent cx="7533564" cy="1079839"/>
              <wp:effectExtent l="0" t="0" r="0" b="635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564" cy="1079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6AB1">
          <w:rPr>
            <w:color w:val="003974"/>
          </w:rPr>
          <w:fldChar w:fldCharType="begin"/>
        </w:r>
        <w:r w:rsidRPr="00316AB1">
          <w:rPr>
            <w:color w:val="003974"/>
          </w:rPr>
          <w:instrText>PAGE   \* MERGEFORMAT</w:instrText>
        </w:r>
        <w:r w:rsidRPr="00316AB1">
          <w:rPr>
            <w:color w:val="003974"/>
          </w:rPr>
          <w:fldChar w:fldCharType="separate"/>
        </w:r>
        <w:r w:rsidRPr="00316AB1">
          <w:rPr>
            <w:color w:val="003974"/>
            <w:lang w:val="pt-BR"/>
          </w:rPr>
          <w:t>2</w:t>
        </w:r>
        <w:r w:rsidRPr="00316AB1">
          <w:rPr>
            <w:color w:val="00397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3C14" w:rsidRDefault="00C93C14" w14:paraId="4F68B1E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CFB" w:rsidP="007444F0" w:rsidRDefault="00C66CFB" w14:paraId="15448B15" w14:textId="77777777">
      <w:pPr>
        <w:spacing w:line="240" w:lineRule="auto"/>
      </w:pPr>
      <w:r>
        <w:separator/>
      </w:r>
    </w:p>
  </w:footnote>
  <w:footnote w:type="continuationSeparator" w:id="0">
    <w:p w:rsidR="00C66CFB" w:rsidP="007444F0" w:rsidRDefault="00C66CFB" w14:paraId="4EF6F8C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3C14" w:rsidRDefault="00C93C14" w14:paraId="6AC0A8EE"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45D82" w:rsidR="007444F0" w:rsidP="00645D82" w:rsidRDefault="00645D82" w14:paraId="280E759C" w14:textId="62B313EA">
    <w:pPr>
      <w:pStyle w:val="Cabealho"/>
    </w:pPr>
    <w:r w:rsidRPr="00010734">
      <w:rPr>
        <w:noProof/>
        <w:color w:val="002060"/>
        <w:spacing w:val="20"/>
      </w:rPr>
      <w:drawing>
        <wp:anchor distT="0" distB="0" distL="114300" distR="114300" simplePos="0" relativeHeight="251658240" behindDoc="1" locked="0" layoutInCell="1" allowOverlap="1" wp14:anchorId="0B0FD54C" wp14:editId="691990BA">
          <wp:simplePos x="0" y="0"/>
          <wp:positionH relativeFrom="page">
            <wp:posOffset>13856</wp:posOffset>
          </wp:positionH>
          <wp:positionV relativeFrom="paragraph">
            <wp:posOffset>-720090</wp:posOffset>
          </wp:positionV>
          <wp:extent cx="7553736" cy="934701"/>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3736" cy="93470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3C14" w:rsidRDefault="00C93C14" w14:paraId="08E6863B"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B9C"/>
    <w:multiLevelType w:val="hybridMultilevel"/>
    <w:tmpl w:val="0972B1A0"/>
    <w:lvl w:ilvl="0" w:tplc="3A2E4212">
      <w:numFmt w:val="bullet"/>
      <w:lvlText w:val="•"/>
      <w:lvlJc w:val="left"/>
      <w:pPr>
        <w:ind w:left="1440" w:hanging="720"/>
      </w:pPr>
      <w:rPr>
        <w:rFonts w:hint="default" w:ascii="Verdana" w:hAnsi="Verdana" w:eastAsiaTheme="minorHAnsi" w:cstheme="minorBidi"/>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1" w15:restartNumberingAfterBreak="0">
    <w:nsid w:val="0C66574C"/>
    <w:multiLevelType w:val="hybridMultilevel"/>
    <w:tmpl w:val="97867C0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0E545309"/>
    <w:multiLevelType w:val="hybridMultilevel"/>
    <w:tmpl w:val="9DEA9490"/>
    <w:lvl w:ilvl="0" w:tplc="3A2E4212">
      <w:numFmt w:val="bullet"/>
      <w:lvlText w:val="•"/>
      <w:lvlJc w:val="left"/>
      <w:pPr>
        <w:ind w:left="1440" w:hanging="720"/>
      </w:pPr>
      <w:rPr>
        <w:rFonts w:hint="default" w:ascii="Verdana" w:hAnsi="Verdana" w:eastAsiaTheme="minorHAnsi" w:cstheme="minorBidi"/>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1C6A3B99"/>
    <w:multiLevelType w:val="hybridMultilevel"/>
    <w:tmpl w:val="4FDADAC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1E59656C"/>
    <w:multiLevelType w:val="hybridMultilevel"/>
    <w:tmpl w:val="AAC85BFA"/>
    <w:lvl w:ilvl="0" w:tplc="99DE528E">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1E80363"/>
    <w:multiLevelType w:val="hybridMultilevel"/>
    <w:tmpl w:val="C3CE6862"/>
    <w:lvl w:ilvl="0" w:tplc="40044180">
      <w:start w:val="1"/>
      <w:numFmt w:val="decimal"/>
      <w:lvlText w:val="%1."/>
      <w:lvlJc w:val="left"/>
      <w:pPr>
        <w:ind w:left="720" w:hanging="360"/>
      </w:pPr>
      <w:rPr>
        <w:rFonts w:hint="default"/>
        <w:color w:val="00397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5026917"/>
    <w:multiLevelType w:val="hybridMultilevel"/>
    <w:tmpl w:val="EEAE1F9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 w15:restartNumberingAfterBreak="0">
    <w:nsid w:val="2A5658C0"/>
    <w:multiLevelType w:val="hybridMultilevel"/>
    <w:tmpl w:val="1F4C07F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43EE3B7C"/>
    <w:multiLevelType w:val="hybridMultilevel"/>
    <w:tmpl w:val="A9BE7F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79A125B"/>
    <w:multiLevelType w:val="hybridMultilevel"/>
    <w:tmpl w:val="B67ADB5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51712A5C"/>
    <w:multiLevelType w:val="hybridMultilevel"/>
    <w:tmpl w:val="7B260538"/>
    <w:lvl w:ilvl="0" w:tplc="99DE528E">
      <w:start w:val="1"/>
      <w:numFmt w:val="decimal"/>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56DD1734"/>
    <w:multiLevelType w:val="hybridMultilevel"/>
    <w:tmpl w:val="50486C74"/>
    <w:lvl w:ilvl="0" w:tplc="3A2E4212">
      <w:numFmt w:val="bullet"/>
      <w:lvlText w:val="•"/>
      <w:lvlJc w:val="left"/>
      <w:pPr>
        <w:ind w:left="720" w:hanging="360"/>
      </w:pPr>
      <w:rPr>
        <w:rFonts w:hint="default" w:ascii="Verdana" w:hAnsi="Verdana" w:eastAsia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4B4FA5"/>
    <w:multiLevelType w:val="hybridMultilevel"/>
    <w:tmpl w:val="76F6379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5B341950"/>
    <w:multiLevelType w:val="hybridMultilevel"/>
    <w:tmpl w:val="844614D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72F31910"/>
    <w:multiLevelType w:val="multilevel"/>
    <w:tmpl w:val="6D32856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2F7510A"/>
    <w:multiLevelType w:val="hybridMultilevel"/>
    <w:tmpl w:val="450C2BEE"/>
    <w:lvl w:ilvl="0" w:tplc="40044180">
      <w:start w:val="1"/>
      <w:numFmt w:val="decimal"/>
      <w:lvlText w:val="%1."/>
      <w:lvlJc w:val="left"/>
      <w:pPr>
        <w:ind w:left="720" w:hanging="360"/>
      </w:pPr>
      <w:rPr>
        <w:rFonts w:hint="default"/>
        <w:color w:val="00397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A281C1E"/>
    <w:multiLevelType w:val="hybridMultilevel"/>
    <w:tmpl w:val="A9F23126"/>
    <w:lvl w:ilvl="0" w:tplc="40044180">
      <w:start w:val="1"/>
      <w:numFmt w:val="decimal"/>
      <w:lvlText w:val="%1."/>
      <w:lvlJc w:val="left"/>
      <w:pPr>
        <w:ind w:left="720" w:hanging="360"/>
      </w:pPr>
      <w:rPr>
        <w:rFonts w:hint="default"/>
        <w:color w:val="00397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BFF2926"/>
    <w:multiLevelType w:val="hybridMultilevel"/>
    <w:tmpl w:val="E8188516"/>
    <w:lvl w:ilvl="0" w:tplc="B8147C38">
      <w:start w:val="1"/>
      <w:numFmt w:val="bullet"/>
      <w:lvlText w:val=""/>
      <w:lvlJc w:val="left"/>
      <w:pPr>
        <w:ind w:left="720" w:hanging="360"/>
      </w:pPr>
      <w:rPr>
        <w:rFonts w:hint="default" w:ascii="Symbol" w:hAnsi="Symbol"/>
        <w:color w:val="003974"/>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1415250298">
    <w:abstractNumId w:val="12"/>
  </w:num>
  <w:num w:numId="2" w16cid:durableId="187724538">
    <w:abstractNumId w:val="6"/>
  </w:num>
  <w:num w:numId="3" w16cid:durableId="1898274021">
    <w:abstractNumId w:val="17"/>
  </w:num>
  <w:num w:numId="4" w16cid:durableId="1480073925">
    <w:abstractNumId w:val="5"/>
  </w:num>
  <w:num w:numId="5" w16cid:durableId="808009438">
    <w:abstractNumId w:val="16"/>
  </w:num>
  <w:num w:numId="6" w16cid:durableId="995956559">
    <w:abstractNumId w:val="15"/>
  </w:num>
  <w:num w:numId="7" w16cid:durableId="311494416">
    <w:abstractNumId w:val="3"/>
  </w:num>
  <w:num w:numId="8" w16cid:durableId="851601832">
    <w:abstractNumId w:val="7"/>
  </w:num>
  <w:num w:numId="9" w16cid:durableId="2080058979">
    <w:abstractNumId w:val="8"/>
  </w:num>
  <w:num w:numId="10" w16cid:durableId="524253056">
    <w:abstractNumId w:val="4"/>
  </w:num>
  <w:num w:numId="11" w16cid:durableId="2073918107">
    <w:abstractNumId w:val="14"/>
  </w:num>
  <w:num w:numId="12" w16cid:durableId="844899004">
    <w:abstractNumId w:val="10"/>
  </w:num>
  <w:num w:numId="13" w16cid:durableId="30881865">
    <w:abstractNumId w:val="1"/>
  </w:num>
  <w:num w:numId="14" w16cid:durableId="1122840787">
    <w:abstractNumId w:val="9"/>
  </w:num>
  <w:num w:numId="15" w16cid:durableId="588850884">
    <w:abstractNumId w:val="13"/>
  </w:num>
  <w:num w:numId="16" w16cid:durableId="1290092878">
    <w:abstractNumId w:val="0"/>
  </w:num>
  <w:num w:numId="17" w16cid:durableId="1735270936">
    <w:abstractNumId w:val="11"/>
  </w:num>
  <w:num w:numId="18" w16cid:durableId="2115050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15"/>
    <w:rsid w:val="000042D4"/>
    <w:rsid w:val="00021BB3"/>
    <w:rsid w:val="00022F2D"/>
    <w:rsid w:val="000318EF"/>
    <w:rsid w:val="000320A2"/>
    <w:rsid w:val="000327B6"/>
    <w:rsid w:val="000336C6"/>
    <w:rsid w:val="00041D6D"/>
    <w:rsid w:val="00045EE1"/>
    <w:rsid w:val="00046B88"/>
    <w:rsid w:val="000522FC"/>
    <w:rsid w:val="000549E1"/>
    <w:rsid w:val="00056722"/>
    <w:rsid w:val="00076176"/>
    <w:rsid w:val="000806B4"/>
    <w:rsid w:val="00084CAD"/>
    <w:rsid w:val="000B50AB"/>
    <w:rsid w:val="000C4276"/>
    <w:rsid w:val="000D0845"/>
    <w:rsid w:val="000D5569"/>
    <w:rsid w:val="000E7BF7"/>
    <w:rsid w:val="000E7EAD"/>
    <w:rsid w:val="000F5CCF"/>
    <w:rsid w:val="00107EE2"/>
    <w:rsid w:val="001177DA"/>
    <w:rsid w:val="00122CE0"/>
    <w:rsid w:val="00131663"/>
    <w:rsid w:val="00154506"/>
    <w:rsid w:val="00156E77"/>
    <w:rsid w:val="00162681"/>
    <w:rsid w:val="001635F4"/>
    <w:rsid w:val="00163E9B"/>
    <w:rsid w:val="00166EEF"/>
    <w:rsid w:val="001A2B21"/>
    <w:rsid w:val="001B012D"/>
    <w:rsid w:val="001B4F3D"/>
    <w:rsid w:val="001B5061"/>
    <w:rsid w:val="001B532B"/>
    <w:rsid w:val="001D004F"/>
    <w:rsid w:val="001D4F90"/>
    <w:rsid w:val="001D6FA4"/>
    <w:rsid w:val="001E6269"/>
    <w:rsid w:val="002021E0"/>
    <w:rsid w:val="00207DF1"/>
    <w:rsid w:val="00210534"/>
    <w:rsid w:val="002149CE"/>
    <w:rsid w:val="0021692D"/>
    <w:rsid w:val="00235A3E"/>
    <w:rsid w:val="00241158"/>
    <w:rsid w:val="002464AC"/>
    <w:rsid w:val="00246AF0"/>
    <w:rsid w:val="00254524"/>
    <w:rsid w:val="002649D7"/>
    <w:rsid w:val="00270D76"/>
    <w:rsid w:val="00284F4A"/>
    <w:rsid w:val="0028505E"/>
    <w:rsid w:val="002875C4"/>
    <w:rsid w:val="002A299D"/>
    <w:rsid w:val="002A4388"/>
    <w:rsid w:val="002B6543"/>
    <w:rsid w:val="002B67AA"/>
    <w:rsid w:val="002D0D01"/>
    <w:rsid w:val="002D73FC"/>
    <w:rsid w:val="002E2189"/>
    <w:rsid w:val="002E6114"/>
    <w:rsid w:val="00300130"/>
    <w:rsid w:val="0030655E"/>
    <w:rsid w:val="00315862"/>
    <w:rsid w:val="00316AB1"/>
    <w:rsid w:val="00325579"/>
    <w:rsid w:val="0033722D"/>
    <w:rsid w:val="00343796"/>
    <w:rsid w:val="00346BC6"/>
    <w:rsid w:val="00352B5C"/>
    <w:rsid w:val="0035580C"/>
    <w:rsid w:val="00375193"/>
    <w:rsid w:val="00383419"/>
    <w:rsid w:val="00386ABF"/>
    <w:rsid w:val="00390B41"/>
    <w:rsid w:val="003D6D45"/>
    <w:rsid w:val="003E179B"/>
    <w:rsid w:val="003F3492"/>
    <w:rsid w:val="00401723"/>
    <w:rsid w:val="00413B28"/>
    <w:rsid w:val="00420B67"/>
    <w:rsid w:val="004422E4"/>
    <w:rsid w:val="00454136"/>
    <w:rsid w:val="004627EA"/>
    <w:rsid w:val="004805F3"/>
    <w:rsid w:val="004A191B"/>
    <w:rsid w:val="004F03B3"/>
    <w:rsid w:val="005018B8"/>
    <w:rsid w:val="00501E3D"/>
    <w:rsid w:val="005179BD"/>
    <w:rsid w:val="00525E83"/>
    <w:rsid w:val="00531005"/>
    <w:rsid w:val="00533F43"/>
    <w:rsid w:val="005371C5"/>
    <w:rsid w:val="00544F62"/>
    <w:rsid w:val="00551651"/>
    <w:rsid w:val="0055441E"/>
    <w:rsid w:val="00557241"/>
    <w:rsid w:val="0057256D"/>
    <w:rsid w:val="005762C9"/>
    <w:rsid w:val="00581C43"/>
    <w:rsid w:val="00592A15"/>
    <w:rsid w:val="005960BE"/>
    <w:rsid w:val="00596A0C"/>
    <w:rsid w:val="005B139E"/>
    <w:rsid w:val="005B1F17"/>
    <w:rsid w:val="005C4AF6"/>
    <w:rsid w:val="005C5092"/>
    <w:rsid w:val="005E719C"/>
    <w:rsid w:val="006006C6"/>
    <w:rsid w:val="006029E1"/>
    <w:rsid w:val="0064213B"/>
    <w:rsid w:val="00645D82"/>
    <w:rsid w:val="00645EEB"/>
    <w:rsid w:val="006462E5"/>
    <w:rsid w:val="0065666E"/>
    <w:rsid w:val="0066136B"/>
    <w:rsid w:val="006733C4"/>
    <w:rsid w:val="006774A1"/>
    <w:rsid w:val="006805D8"/>
    <w:rsid w:val="00687B99"/>
    <w:rsid w:val="006976B2"/>
    <w:rsid w:val="006A04C1"/>
    <w:rsid w:val="006A6D19"/>
    <w:rsid w:val="006A771B"/>
    <w:rsid w:val="006B0EED"/>
    <w:rsid w:val="006B5916"/>
    <w:rsid w:val="006C3BB2"/>
    <w:rsid w:val="006C5DAD"/>
    <w:rsid w:val="006C76FA"/>
    <w:rsid w:val="006D0300"/>
    <w:rsid w:val="006E41E1"/>
    <w:rsid w:val="007006D5"/>
    <w:rsid w:val="00725ED2"/>
    <w:rsid w:val="00730E1D"/>
    <w:rsid w:val="007444F0"/>
    <w:rsid w:val="00744C67"/>
    <w:rsid w:val="00746909"/>
    <w:rsid w:val="007479D4"/>
    <w:rsid w:val="007519DB"/>
    <w:rsid w:val="00760D96"/>
    <w:rsid w:val="00767C11"/>
    <w:rsid w:val="00774091"/>
    <w:rsid w:val="007835BE"/>
    <w:rsid w:val="00785EC5"/>
    <w:rsid w:val="0078726B"/>
    <w:rsid w:val="0079196C"/>
    <w:rsid w:val="007B6824"/>
    <w:rsid w:val="007C21A5"/>
    <w:rsid w:val="007C697F"/>
    <w:rsid w:val="007D06D5"/>
    <w:rsid w:val="007D2762"/>
    <w:rsid w:val="007F39F4"/>
    <w:rsid w:val="007F41F7"/>
    <w:rsid w:val="008009CF"/>
    <w:rsid w:val="00831D5B"/>
    <w:rsid w:val="00842457"/>
    <w:rsid w:val="00852D98"/>
    <w:rsid w:val="00856DD1"/>
    <w:rsid w:val="00860EF1"/>
    <w:rsid w:val="008637F0"/>
    <w:rsid w:val="00886427"/>
    <w:rsid w:val="008A5CD3"/>
    <w:rsid w:val="008C146C"/>
    <w:rsid w:val="008D13DC"/>
    <w:rsid w:val="008D28B9"/>
    <w:rsid w:val="00923A8A"/>
    <w:rsid w:val="00930BB0"/>
    <w:rsid w:val="009477A8"/>
    <w:rsid w:val="00964D2D"/>
    <w:rsid w:val="00975089"/>
    <w:rsid w:val="00975DC1"/>
    <w:rsid w:val="009930DF"/>
    <w:rsid w:val="00996595"/>
    <w:rsid w:val="009B2218"/>
    <w:rsid w:val="009C58AA"/>
    <w:rsid w:val="009D5E50"/>
    <w:rsid w:val="009E22D0"/>
    <w:rsid w:val="00A07375"/>
    <w:rsid w:val="00A13339"/>
    <w:rsid w:val="00A16B8A"/>
    <w:rsid w:val="00A21262"/>
    <w:rsid w:val="00A265FF"/>
    <w:rsid w:val="00A2725D"/>
    <w:rsid w:val="00A3733E"/>
    <w:rsid w:val="00A407D0"/>
    <w:rsid w:val="00A410B5"/>
    <w:rsid w:val="00A46DFD"/>
    <w:rsid w:val="00A53F3E"/>
    <w:rsid w:val="00A56080"/>
    <w:rsid w:val="00A56E53"/>
    <w:rsid w:val="00A61D25"/>
    <w:rsid w:val="00A62334"/>
    <w:rsid w:val="00A74A92"/>
    <w:rsid w:val="00A9304E"/>
    <w:rsid w:val="00A9526C"/>
    <w:rsid w:val="00AE2B75"/>
    <w:rsid w:val="00AE54B5"/>
    <w:rsid w:val="00B612C1"/>
    <w:rsid w:val="00B61E23"/>
    <w:rsid w:val="00B72519"/>
    <w:rsid w:val="00BB4884"/>
    <w:rsid w:val="00BB757E"/>
    <w:rsid w:val="00BC4FB2"/>
    <w:rsid w:val="00BD1BB8"/>
    <w:rsid w:val="00BD26FA"/>
    <w:rsid w:val="00BD7F51"/>
    <w:rsid w:val="00C1402B"/>
    <w:rsid w:val="00C360A4"/>
    <w:rsid w:val="00C52079"/>
    <w:rsid w:val="00C604A1"/>
    <w:rsid w:val="00C62338"/>
    <w:rsid w:val="00C66B78"/>
    <w:rsid w:val="00C66CFB"/>
    <w:rsid w:val="00C74F50"/>
    <w:rsid w:val="00C77BEC"/>
    <w:rsid w:val="00C8488D"/>
    <w:rsid w:val="00C8565D"/>
    <w:rsid w:val="00C91DEF"/>
    <w:rsid w:val="00C93C14"/>
    <w:rsid w:val="00CA6628"/>
    <w:rsid w:val="00CE0A6A"/>
    <w:rsid w:val="00CE1CCF"/>
    <w:rsid w:val="00CF0660"/>
    <w:rsid w:val="00CF4476"/>
    <w:rsid w:val="00D11C9E"/>
    <w:rsid w:val="00D12487"/>
    <w:rsid w:val="00D455F5"/>
    <w:rsid w:val="00D52099"/>
    <w:rsid w:val="00D71C8E"/>
    <w:rsid w:val="00D737E2"/>
    <w:rsid w:val="00D7637F"/>
    <w:rsid w:val="00D774EC"/>
    <w:rsid w:val="00D94235"/>
    <w:rsid w:val="00DA0321"/>
    <w:rsid w:val="00DA235D"/>
    <w:rsid w:val="00DA7035"/>
    <w:rsid w:val="00DB7CFE"/>
    <w:rsid w:val="00DC33CC"/>
    <w:rsid w:val="00DC63FD"/>
    <w:rsid w:val="00DD4B0E"/>
    <w:rsid w:val="00DE0773"/>
    <w:rsid w:val="00DF5A57"/>
    <w:rsid w:val="00E00DA8"/>
    <w:rsid w:val="00E07772"/>
    <w:rsid w:val="00E21C4A"/>
    <w:rsid w:val="00E43197"/>
    <w:rsid w:val="00E65190"/>
    <w:rsid w:val="00E72E28"/>
    <w:rsid w:val="00E842AA"/>
    <w:rsid w:val="00E84C43"/>
    <w:rsid w:val="00E8763C"/>
    <w:rsid w:val="00E87CC3"/>
    <w:rsid w:val="00E94499"/>
    <w:rsid w:val="00EA1E02"/>
    <w:rsid w:val="00EA3387"/>
    <w:rsid w:val="00EA37FD"/>
    <w:rsid w:val="00EC66F6"/>
    <w:rsid w:val="00EC6AAE"/>
    <w:rsid w:val="00ED4FC7"/>
    <w:rsid w:val="00EE11DE"/>
    <w:rsid w:val="00EE41C6"/>
    <w:rsid w:val="00EF53B4"/>
    <w:rsid w:val="00F02C9F"/>
    <w:rsid w:val="00F04299"/>
    <w:rsid w:val="00F0537A"/>
    <w:rsid w:val="00F12620"/>
    <w:rsid w:val="00F13C00"/>
    <w:rsid w:val="00F31B4E"/>
    <w:rsid w:val="00F336D8"/>
    <w:rsid w:val="00F42D97"/>
    <w:rsid w:val="00F60C82"/>
    <w:rsid w:val="00F80BC0"/>
    <w:rsid w:val="00F91999"/>
    <w:rsid w:val="00FB40F4"/>
    <w:rsid w:val="00FC0559"/>
    <w:rsid w:val="00FC21DC"/>
    <w:rsid w:val="00FC4917"/>
    <w:rsid w:val="00FC5F7C"/>
    <w:rsid w:val="00FD0733"/>
    <w:rsid w:val="00FD4D08"/>
    <w:rsid w:val="00FF2213"/>
    <w:rsid w:val="00FF31A3"/>
    <w:rsid w:val="00FF4252"/>
    <w:rsid w:val="2D9A5D35"/>
    <w:rsid w:val="4032F5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616CA"/>
  <w15:docId w15:val="{71EFC92C-140E-4414-AA1B-5DFF3A9B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33C4"/>
    <w:pPr>
      <w:spacing w:line="360" w:lineRule="auto"/>
    </w:pPr>
    <w:rPr>
      <w:rFonts w:ascii="Verdana" w:hAnsi="Verdana"/>
    </w:rPr>
  </w:style>
  <w:style w:type="paragraph" w:styleId="Ttulo1">
    <w:name w:val="heading 1"/>
    <w:basedOn w:val="Normal"/>
    <w:next w:val="Normal"/>
    <w:link w:val="Ttulo1Char"/>
    <w:uiPriority w:val="9"/>
    <w:qFormat/>
    <w:rsid w:val="00C8565D"/>
    <w:pPr>
      <w:keepNext/>
      <w:keepLines/>
      <w:spacing w:before="240" w:after="240"/>
      <w:outlineLvl w:val="0"/>
    </w:pPr>
    <w:rPr>
      <w:rFonts w:ascii="Tahoma" w:hAnsi="Tahoma" w:eastAsiaTheme="majorEastAsia" w:cstheme="majorBidi"/>
      <w:b/>
      <w:color w:val="003974"/>
      <w:sz w:val="28"/>
      <w:szCs w:val="32"/>
    </w:rPr>
  </w:style>
  <w:style w:type="paragraph" w:styleId="Ttulo2">
    <w:name w:val="heading 2"/>
    <w:basedOn w:val="Normal"/>
    <w:next w:val="Normal"/>
    <w:link w:val="Ttulo2Char"/>
    <w:uiPriority w:val="9"/>
    <w:unhideWhenUsed/>
    <w:qFormat/>
    <w:rsid w:val="00DA235D"/>
    <w:pPr>
      <w:keepNext/>
      <w:keepLines/>
      <w:spacing w:before="240" w:after="120"/>
      <w:outlineLvl w:val="1"/>
    </w:pPr>
    <w:rPr>
      <w:rFonts w:eastAsiaTheme="majorEastAsia" w:cstheme="majorBidi"/>
      <w:b/>
      <w:caps/>
      <w:szCs w:val="26"/>
    </w:rPr>
  </w:style>
  <w:style w:type="paragraph" w:styleId="Ttulo4">
    <w:name w:val="heading 4"/>
    <w:basedOn w:val="Normal"/>
    <w:next w:val="Normal"/>
    <w:link w:val="Ttulo4Char"/>
    <w:uiPriority w:val="9"/>
    <w:semiHidden/>
    <w:unhideWhenUsed/>
    <w:qFormat/>
    <w:rsid w:val="008C146C"/>
    <w:pPr>
      <w:keepNext/>
      <w:keepLines/>
      <w:spacing w:before="40"/>
      <w:outlineLvl w:val="3"/>
    </w:pPr>
    <w:rPr>
      <w:rFonts w:asciiTheme="majorHAnsi" w:hAnsiTheme="majorHAnsi" w:eastAsiaTheme="majorEastAsia" w:cstheme="majorBidi"/>
      <w:i/>
      <w:iCs/>
      <w:color w:val="365F91" w:themeColor="accent1" w:themeShade="BF"/>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uiPriority w:val="10"/>
    <w:pPr>
      <w:ind w:left="106"/>
    </w:pPr>
    <w:rPr>
      <w:rFonts w:ascii="Times New Roman" w:hAnsi="Times New Roman" w:eastAsia="Times New Roman" w:cs="Times New Roman"/>
      <w:b/>
      <w:bCs/>
      <w:i/>
      <w:iCs/>
    </w:rPr>
  </w:style>
  <w:style w:type="paragraph" w:styleId="PargrafodaLista">
    <w:name w:val="List Paragraph"/>
    <w:basedOn w:val="Normal"/>
    <w:uiPriority w:val="1"/>
    <w:qFormat/>
  </w:style>
  <w:style w:type="paragraph" w:styleId="TableParagraph" w:customStyle="1">
    <w:name w:val="Table Paragraph"/>
    <w:basedOn w:val="Normal"/>
    <w:uiPriority w:val="1"/>
    <w:qFormat/>
  </w:style>
  <w:style w:type="paragraph" w:styleId="Cabealho">
    <w:name w:val="header"/>
    <w:basedOn w:val="Normal"/>
    <w:link w:val="CabealhoChar"/>
    <w:uiPriority w:val="99"/>
    <w:unhideWhenUsed/>
    <w:rsid w:val="007444F0"/>
    <w:pPr>
      <w:tabs>
        <w:tab w:val="center" w:pos="4252"/>
        <w:tab w:val="right" w:pos="8504"/>
      </w:tabs>
    </w:pPr>
  </w:style>
  <w:style w:type="character" w:styleId="CabealhoChar" w:customStyle="1">
    <w:name w:val="Cabeçalho Char"/>
    <w:basedOn w:val="Fontepargpadro"/>
    <w:link w:val="Cabealho"/>
    <w:uiPriority w:val="99"/>
    <w:rsid w:val="007444F0"/>
  </w:style>
  <w:style w:type="paragraph" w:styleId="Rodap">
    <w:name w:val="footer"/>
    <w:basedOn w:val="Normal"/>
    <w:link w:val="RodapChar"/>
    <w:uiPriority w:val="99"/>
    <w:unhideWhenUsed/>
    <w:rsid w:val="007444F0"/>
    <w:pPr>
      <w:tabs>
        <w:tab w:val="center" w:pos="4252"/>
        <w:tab w:val="right" w:pos="8504"/>
      </w:tabs>
    </w:pPr>
  </w:style>
  <w:style w:type="character" w:styleId="RodapChar" w:customStyle="1">
    <w:name w:val="Rodapé Char"/>
    <w:basedOn w:val="Fontepargpadro"/>
    <w:link w:val="Rodap"/>
    <w:uiPriority w:val="99"/>
    <w:rsid w:val="007444F0"/>
  </w:style>
  <w:style w:type="character" w:styleId="Ttulo1Char" w:customStyle="1">
    <w:name w:val="Título 1 Char"/>
    <w:basedOn w:val="Fontepargpadro"/>
    <w:link w:val="Ttulo1"/>
    <w:uiPriority w:val="9"/>
    <w:rsid w:val="00C8565D"/>
    <w:rPr>
      <w:rFonts w:ascii="Tahoma" w:hAnsi="Tahoma" w:eastAsiaTheme="majorEastAsia" w:cstheme="majorBidi"/>
      <w:b/>
      <w:color w:val="003974"/>
      <w:sz w:val="28"/>
      <w:szCs w:val="32"/>
    </w:rPr>
  </w:style>
  <w:style w:type="paragraph" w:styleId="Subttulo">
    <w:name w:val="Subtitle"/>
    <w:basedOn w:val="Normal"/>
    <w:next w:val="Normal"/>
    <w:link w:val="SubttuloChar"/>
    <w:uiPriority w:val="11"/>
    <w:rsid w:val="001B4F3D"/>
    <w:pPr>
      <w:numPr>
        <w:ilvl w:val="1"/>
      </w:numPr>
    </w:pPr>
    <w:rPr>
      <w:rFonts w:eastAsiaTheme="minorEastAsia"/>
      <w:caps/>
      <w:color w:val="5A5A5A" w:themeColor="text1" w:themeTint="A5"/>
      <w:spacing w:val="15"/>
      <w:sz w:val="18"/>
    </w:rPr>
  </w:style>
  <w:style w:type="paragraph" w:styleId="CabealhoSistemaOCB" w:customStyle="1">
    <w:name w:val="Cabeçalho SistemaOCB"/>
    <w:basedOn w:val="Cabealho"/>
    <w:link w:val="CabealhoSistemaOCBChar"/>
    <w:qFormat/>
    <w:rsid w:val="006C5DAD"/>
    <w:rPr>
      <w:b/>
      <w:bCs/>
      <w:noProof/>
      <w:color w:val="003974"/>
      <w:spacing w:val="30"/>
      <w:sz w:val="20"/>
      <w:szCs w:val="20"/>
    </w:rPr>
  </w:style>
  <w:style w:type="character" w:styleId="Hyperlink">
    <w:name w:val="Hyperlink"/>
    <w:basedOn w:val="Fontepargpadro"/>
    <w:uiPriority w:val="99"/>
    <w:unhideWhenUsed/>
    <w:rsid w:val="00246AF0"/>
    <w:rPr>
      <w:color w:val="0000FF" w:themeColor="hyperlink"/>
      <w:u w:val="single"/>
    </w:rPr>
  </w:style>
  <w:style w:type="character" w:styleId="CabealhoSistemaOCBChar" w:customStyle="1">
    <w:name w:val="Cabeçalho SistemaOCB Char"/>
    <w:basedOn w:val="CabealhoChar"/>
    <w:link w:val="CabealhoSistemaOCB"/>
    <w:rsid w:val="006C5DAD"/>
    <w:rPr>
      <w:rFonts w:ascii="Verdana" w:hAnsi="Verdana"/>
      <w:b/>
      <w:bCs/>
      <w:noProof/>
      <w:color w:val="003974"/>
      <w:spacing w:val="30"/>
      <w:sz w:val="20"/>
      <w:szCs w:val="20"/>
    </w:rPr>
  </w:style>
  <w:style w:type="character" w:styleId="MenoPendente">
    <w:name w:val="Unresolved Mention"/>
    <w:basedOn w:val="Fontepargpadro"/>
    <w:uiPriority w:val="99"/>
    <w:semiHidden/>
    <w:unhideWhenUsed/>
    <w:rsid w:val="00246AF0"/>
    <w:rPr>
      <w:color w:val="605E5C"/>
      <w:shd w:val="clear" w:color="auto" w:fill="E1DFDD"/>
    </w:rPr>
  </w:style>
  <w:style w:type="character" w:styleId="Ttulo2Char" w:customStyle="1">
    <w:name w:val="Título 2 Char"/>
    <w:basedOn w:val="Fontepargpadro"/>
    <w:link w:val="Ttulo2"/>
    <w:uiPriority w:val="9"/>
    <w:rsid w:val="00DA235D"/>
    <w:rPr>
      <w:rFonts w:ascii="Verdana" w:hAnsi="Verdana" w:eastAsiaTheme="majorEastAsia" w:cstheme="majorBidi"/>
      <w:b/>
      <w:caps/>
      <w:szCs w:val="26"/>
    </w:rPr>
  </w:style>
  <w:style w:type="character" w:styleId="SubttuloChar" w:customStyle="1">
    <w:name w:val="Subtítulo Char"/>
    <w:basedOn w:val="Fontepargpadro"/>
    <w:link w:val="Subttulo"/>
    <w:uiPriority w:val="11"/>
    <w:rsid w:val="001B4F3D"/>
    <w:rPr>
      <w:rFonts w:ascii="Verdana" w:hAnsi="Verdana" w:eastAsiaTheme="minorEastAsia"/>
      <w:caps/>
      <w:color w:val="5A5A5A" w:themeColor="text1" w:themeTint="A5"/>
      <w:spacing w:val="15"/>
      <w:sz w:val="18"/>
    </w:rPr>
  </w:style>
  <w:style w:type="table" w:styleId="Tabelacomgrade">
    <w:name w:val="Table Grid"/>
    <w:basedOn w:val="Tabelanormal"/>
    <w:uiPriority w:val="39"/>
    <w:rsid w:val="00930B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4Char" w:customStyle="1">
    <w:name w:val="Título 4 Char"/>
    <w:basedOn w:val="Fontepargpadro"/>
    <w:link w:val="Ttulo4"/>
    <w:uiPriority w:val="9"/>
    <w:semiHidden/>
    <w:rsid w:val="008C146C"/>
    <w:rPr>
      <w:rFonts w:asciiTheme="majorHAnsi" w:hAnsiTheme="majorHAnsi" w:eastAsiaTheme="majorEastAsia" w:cstheme="majorBidi"/>
      <w:i/>
      <w:iCs/>
      <w:color w:val="365F91" w:themeColor="accent1" w:themeShade="BF"/>
    </w:rPr>
  </w:style>
  <w:style w:type="table" w:styleId="TableNormal1" w:customStyle="1">
    <w:name w:val="Table Normal1"/>
    <w:uiPriority w:val="2"/>
    <w:semiHidden/>
    <w:unhideWhenUsed/>
    <w:qFormat/>
    <w:rsid w:val="00300130"/>
    <w:tblPr>
      <w:tblInd w:w="0" w:type="dxa"/>
      <w:tblCellMar>
        <w:top w:w="0" w:type="dxa"/>
        <w:left w:w="0" w:type="dxa"/>
        <w:bottom w:w="0" w:type="dxa"/>
        <w:right w:w="0" w:type="dxa"/>
      </w:tblCellMar>
    </w:tblPr>
  </w:style>
  <w:style w:type="character" w:styleId="Refdecomentrio">
    <w:name w:val="annotation reference"/>
    <w:basedOn w:val="Fontepargpadro"/>
    <w:uiPriority w:val="99"/>
    <w:semiHidden/>
    <w:unhideWhenUsed/>
    <w:rsid w:val="004805F3"/>
    <w:rPr>
      <w:sz w:val="16"/>
      <w:szCs w:val="16"/>
    </w:rPr>
  </w:style>
  <w:style w:type="paragraph" w:styleId="Textodecomentrio">
    <w:name w:val="annotation text"/>
    <w:basedOn w:val="Normal"/>
    <w:link w:val="TextodecomentrioChar"/>
    <w:uiPriority w:val="99"/>
    <w:unhideWhenUsed/>
    <w:rsid w:val="004805F3"/>
    <w:pPr>
      <w:spacing w:line="240" w:lineRule="auto"/>
    </w:pPr>
    <w:rPr>
      <w:sz w:val="20"/>
      <w:szCs w:val="20"/>
    </w:rPr>
  </w:style>
  <w:style w:type="character" w:styleId="TextodecomentrioChar" w:customStyle="1">
    <w:name w:val="Texto de comentário Char"/>
    <w:basedOn w:val="Fontepargpadro"/>
    <w:link w:val="Textodecomentrio"/>
    <w:uiPriority w:val="99"/>
    <w:rsid w:val="004805F3"/>
    <w:rPr>
      <w:rFonts w:ascii="Verdana" w:hAnsi="Verdana"/>
      <w:sz w:val="20"/>
      <w:szCs w:val="20"/>
    </w:rPr>
  </w:style>
  <w:style w:type="paragraph" w:styleId="Assuntodocomentrio">
    <w:name w:val="annotation subject"/>
    <w:basedOn w:val="Textodecomentrio"/>
    <w:next w:val="Textodecomentrio"/>
    <w:link w:val="AssuntodocomentrioChar"/>
    <w:uiPriority w:val="99"/>
    <w:semiHidden/>
    <w:unhideWhenUsed/>
    <w:rsid w:val="004805F3"/>
    <w:rPr>
      <w:b/>
      <w:bCs/>
    </w:rPr>
  </w:style>
  <w:style w:type="character" w:styleId="AssuntodocomentrioChar" w:customStyle="1">
    <w:name w:val="Assunto do comentário Char"/>
    <w:basedOn w:val="TextodecomentrioChar"/>
    <w:link w:val="Assuntodocomentrio"/>
    <w:uiPriority w:val="99"/>
    <w:semiHidden/>
    <w:rsid w:val="004805F3"/>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034677">
      <w:bodyDiv w:val="1"/>
      <w:marLeft w:val="0"/>
      <w:marRight w:val="0"/>
      <w:marTop w:val="0"/>
      <w:marBottom w:val="0"/>
      <w:divBdr>
        <w:top w:val="none" w:sz="0" w:space="0" w:color="auto"/>
        <w:left w:val="none" w:sz="0" w:space="0" w:color="auto"/>
        <w:bottom w:val="none" w:sz="0" w:space="0" w:color="auto"/>
        <w:right w:val="none" w:sz="0" w:space="0" w:color="auto"/>
      </w:divBdr>
      <w:divsChild>
        <w:div w:id="654257960">
          <w:marLeft w:val="0"/>
          <w:marRight w:val="0"/>
          <w:marTop w:val="0"/>
          <w:marBottom w:val="0"/>
          <w:divBdr>
            <w:top w:val="none" w:sz="0" w:space="0" w:color="auto"/>
            <w:left w:val="none" w:sz="0" w:space="0" w:color="auto"/>
            <w:bottom w:val="none" w:sz="0" w:space="0" w:color="auto"/>
            <w:right w:val="none" w:sz="0" w:space="0" w:color="auto"/>
          </w:divBdr>
        </w:div>
        <w:div w:id="1877740372">
          <w:marLeft w:val="0"/>
          <w:marRight w:val="0"/>
          <w:marTop w:val="0"/>
          <w:marBottom w:val="0"/>
          <w:divBdr>
            <w:top w:val="none" w:sz="0" w:space="0" w:color="auto"/>
            <w:left w:val="none" w:sz="0" w:space="0" w:color="auto"/>
            <w:bottom w:val="none" w:sz="0" w:space="0" w:color="auto"/>
            <w:right w:val="none" w:sz="0" w:space="0" w:color="auto"/>
          </w:divBdr>
        </w:div>
      </w:divsChild>
    </w:div>
    <w:div w:id="576940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guilherme.costa@sescoop.coop.br" TargetMode="External" Id="rId13" /><Relationship Type="http://schemas.openxmlformats.org/officeDocument/2006/relationships/image" Target="media/image5.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mailto:arthur.nery@ocb.coop.br" TargetMode="External" Id="rId12" /><Relationship Type="http://schemas.openxmlformats.org/officeDocument/2006/relationships/image" Target="media/image4.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nucleo@ocb.coop.br"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footer" Target="footer2.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34F0DF-6FD3-4459-9152-D63B8772B73A}">
  <we:reference id="WA200010725" version="1.0.0.1" store="Omex" storeType="OMEX"/>
  <we:alternateReferences>
    <we:reference id="WA200010725" version="1.0.0.1" store="WA200010725" storeType="OMEX"/>
  </we:alternateReferences>
  <we:properties>
    <we:property name="claude.fileId" value="&quot;56a7ceb2-3b77-4f92-983f-5032172082e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D2CB19B570A4F4D9CC47A9D284D53A8" ma:contentTypeVersion="19" ma:contentTypeDescription="Crie um novo documento." ma:contentTypeScope="" ma:versionID="bb4272bc23afa72c3bb40b13e8e79dbf">
  <xsd:schema xmlns:xsd="http://www.w3.org/2001/XMLSchema" xmlns:xs="http://www.w3.org/2001/XMLSchema" xmlns:p="http://schemas.microsoft.com/office/2006/metadata/properties" xmlns:ns2="efa2c3c8-e1e0-4dd8-ad45-86d7c0757a2a" xmlns:ns3="64eb872b-5020-46e4-b5a0-d4cff3d0f032" targetNamespace="http://schemas.microsoft.com/office/2006/metadata/properties" ma:root="true" ma:fieldsID="a6d6e2c52de920ff736bdcc3c86dfed1" ns2:_="" ns3:_="">
    <xsd:import namespace="efa2c3c8-e1e0-4dd8-ad45-86d7c0757a2a"/>
    <xsd:import namespace="64eb872b-5020-46e4-b5a0-d4cff3d0f0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a2c3c8-e1e0-4dd8-ad45-86d7c0757a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cd743f79-f374-44db-a6c2-25aed8e3f1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eb872b-5020-46e4-b5a0-d4cff3d0f032" elementFormDefault="qualified">
    <xsd:import namespace="http://schemas.microsoft.com/office/2006/documentManagement/types"/>
    <xsd:import namespace="http://schemas.microsoft.com/office/infopath/2007/PartnerControls"/>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22bc4ba1-6142-4d89-afcd-d818bf7eb27e}" ma:internalName="TaxCatchAll" ma:showField="CatchAllData" ma:web="64eb872b-5020-46e4-b5a0-d4cff3d0f0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a2c3c8-e1e0-4dd8-ad45-86d7c0757a2a">
      <Terms xmlns="http://schemas.microsoft.com/office/infopath/2007/PartnerControls"/>
    </lcf76f155ced4ddcb4097134ff3c332f>
    <TaxCatchAll xmlns="64eb872b-5020-46e4-b5a0-d4cff3d0f03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341FAC-C0C7-4F6C-9672-E3202A9A9131}">
  <ds:schemaRefs>
    <ds:schemaRef ds:uri="http://schemas.openxmlformats.org/officeDocument/2006/bibliography"/>
  </ds:schemaRefs>
</ds:datastoreItem>
</file>

<file path=customXml/itemProps2.xml><?xml version="1.0" encoding="utf-8"?>
<ds:datastoreItem xmlns:ds="http://schemas.openxmlformats.org/officeDocument/2006/customXml" ds:itemID="{FBC3A274-8CF9-49C2-A0A3-695213C86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c3c8-e1e0-4dd8-ad45-86d7c0757a2a"/>
    <ds:schemaRef ds:uri="64eb872b-5020-46e4-b5a0-d4cff3d0f0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1B4FDA-1099-490E-845C-ADCCB6FFEF81}">
  <ds:schemaRefs>
    <ds:schemaRef ds:uri="http://schemas.microsoft.com/office/2006/metadata/properties"/>
    <ds:schemaRef ds:uri="http://schemas.microsoft.com/office/infopath/2007/PartnerControls"/>
    <ds:schemaRef ds:uri="efa2c3c8-e1e0-4dd8-ad45-86d7c0757a2a"/>
    <ds:schemaRef ds:uri="64eb872b-5020-46e4-b5a0-d4cff3d0f032"/>
  </ds:schemaRefs>
</ds:datastoreItem>
</file>

<file path=customXml/itemProps4.xml><?xml version="1.0" encoding="utf-8"?>
<ds:datastoreItem xmlns:ds="http://schemas.openxmlformats.org/officeDocument/2006/customXml" ds:itemID="{9BCBAB7A-FE38-4533-B3E4-7F81EAD3DBC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sistema_ocb_Timbrado_A4</dc:title>
  <dc:subject/>
  <dc:creator>Lucas de Oliveira Badú</dc:creator>
  <keywords/>
  <lastModifiedBy>Arthur Gomes Nery</lastModifiedBy>
  <revision>66</revision>
  <lastPrinted>2025-10-28T00:14:00.0000000Z</lastPrinted>
  <dcterms:created xsi:type="dcterms:W3CDTF">2025-10-28T00:48:00.0000000Z</dcterms:created>
  <dcterms:modified xsi:type="dcterms:W3CDTF">2026-09-30T13:23:52.4208480Z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2022-11-23T00:00:00Z</vt:filetime>
  </property>
  <property fmtid="{D5CDD505-2E9C-101B-9397-08002B2CF9AE}" pid="3" name="Creator">
    <vt:lpwstr>Adobe Illustrator 24.3 (Macintosh)</vt:lpwstr>
  </property>
  <property fmtid="{D5CDD505-2E9C-101B-9397-08002B2CF9AE}" pid="4" name="LastSaved">
    <vt:filetime>2022-11-23T00:00:00Z</vt:filetime>
  </property>
  <property fmtid="{D5CDD505-2E9C-101B-9397-08002B2CF9AE}" pid="5" name="ContentTypeId">
    <vt:lpwstr>0x0101006D2CB19B570A4F4D9CC47A9D284D53A8</vt:lpwstr>
  </property>
  <property fmtid="{D5CDD505-2E9C-101B-9397-08002B2CF9AE}" pid="6" name="MediaServiceImageTags">
    <vt:lpwstr/>
  </property>
</Properties>
</file>