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they earn about what banks of the same size earn, on an intermediation margin indistinguishable from the banks'; after tax they retain about two percentage points more, in substantial part because cooperative acts are exempt from income tax and social contribution. The pre-tax gap under controls is about three fifths of the after-tax one and is not established on the matched or common-support samples, so by the classification rule it is null while the after-tax gap is stable.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an operating return similar to that of banks on similar spreads, retains more of it after tax and sits in a narrow band of the capital distribution. The results agree with Hesse and Čihák (2007) on lower capitalisation and lower return volatility and differ on profitability only after tax; before tax the two populations earn about the same, and the difference is the fiscal treatment of cooperative acts.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profitability holds for the retained return and fails for the operating return.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