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and Department of Administration, University of Brasilia,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spacing w:after="240"/>
        <w:jc w:val="center"/>
      </w:pPr>
      <w:r>
        <w:rPr>
          <w:i/>
          <w:iCs/>
        </w:rPr>
        <w:t xml:space="preserve">Award category:</w:t>
      </w:r>
      <w:r>
        <w:t xml:space="preserve"> Best Young and Emerging Scholar Paper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use this setting to ask whether the cooperative form retains distinct balance-sheet characteristics. Using a quarterly panel of every full-methodology institution from 2017 to 2024, 130 singular credit cooperatives and 144 banks, we relate eleven balance-sheet and performance measures to a cooperative dummy. The estimates control for size and time and are repeated on a matched sample and across five comparison groups. Three results emerge. First, cooperatives of comparable size allocate more of their assets to credit than banks nationally, operate at lower cost and show steadier returns; before tax they earn about what banks earn, and after tax they retain about two percentage points more, in substantial part because cooperative acts are untaxed. Second, capital differs modestly in level and markedly in dispersion. The mean gap comes from small banks with capital ratios above fifty percent and roughly halves against deposit-funded banks. Among thinly capitalised institutions, cooperatives hold more capital than banks and provision no less. Third, lower provisioning and narrower margins, two differences often reported, disappear once the comparison group is restricted to banks. Whether the differences bear on the territorial role of cooperative lenders is the claim these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6.3 percent a year later, and their share has risen in every year since 2020 (Banco Central do Brasil, 2025, 2026).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If the prudential benchmark reflects an average institution that barely lends, it measures cooperatives against a standard drawn from a different kind of institution. Whether it does is the question we ask.</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One reading of the prudential rationale is a representation argument, in which the supervisor acts on behalf of small, dispersed depositors who cannot monitor a leveraged intermediary. In a credit cooperative the depositor is also a member with a residual claim and a governance right, and in the integrated systems a central body supplies consolidated monitoring. The monitoring problem is therefore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Organisational form and network membership are then candidate calibration margins, and the profile of each form decides whether they point to lighter treatment or closer scrutiny. This paper provides that profile.</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Basel III admits the member shares of mutuals and cooperatives as common equity under criteria adapted to their legal form (Basel Committee on Banking Supervision, 2011).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Ayadi et al. (2010) document the performance and role of cooperative banks across Europe,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None of these studies compares cooperatives with banks under a common prudential methodology, which is the setting we use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 which institutions form the comparison group, how cumulative accounting flows are converted into rates, and how a matched estimator is weighted.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The window includes the pandemic years; quarter fixed effects absorb the common shock, and the pre-2022 subperiod that contains them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stops short of a rung defined on lending, since credit intensity is an outcome and selecting peers on it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Because the unit is the institution, these two outcomes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(Lei 4.595/1964), and the IF.data income fields reset at each date. The median ratio of the fourth-quarter to the first-quarter value is between 2.2 and 2.3 for every income field and close to one for balance-sheet stocks.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line (</w:t>
      </w:r>
      <w:r>
        <w:rPr>
          <w:i/>
          <w:iCs/>
        </w:rPr>
        <w:t xml:space="preserve">b</w:t>
      </w:r>
      <w:r>
        <w:t xml:space="preserve">5), </w:t>
      </w:r>
      <w:r>
        <w:rPr>
          <w:i/>
          <w:iCs/>
        </w:rPr>
        <w:t xml:space="preserve">Resultado de Provisão para Créditos de Difícil Liquidação</w:t>
      </w:r>
      <w:r>
        <w:t xml:space="preserve">,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The minimum provision is a step function of the AA to H rating assigned to each operation, so the ratio reflects how the institution classifies its book and is a weak proxy for realised delinquency.</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on our design with six treated clusters (online appendix), the clustered test over-rejects at both conventional levels, while the bootstrap is conservative at one percent and still over-rejects at five. The few-cluster problem concerns the system splits, which report their treated cluster counts; the main comparison rests on about 130 treated clusters, where the two agree. Quantile coefficients carry intervals from an institution bootstrap. Several outcomes are right-skewed, so we report the conditional median alongside the conditional mean.</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 a magnitude that holds across the distribution,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About half the bank population therefore has no cooperative counterpart at any size. Matching and trimming bring the standardised difference in log assets from −0.72 to close to zero. Unconditional means and medians are in the online appendix.</w:t>
      </w:r>
      <w:r>
        <w:rPr>
          <w:rStyle w:val="FootnoteReference"/>
        </w:rPr>
        <w:footnoteReference w:id="1"/>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Their retention ratios are above one, except for the after-tax return, which keeps most of its raw value; a size-composition artefact would shrink as size is held more tightly.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 The differential moves little across the four columns and changes by less than one percentage point across winsorisation rules.</w:t>
      </w:r>
    </w:p>
    <w:p>
      <w:pPr>
        <w:jc w:val="both"/>
      </w:pPr>
      <w:r>
        <w:t xml:space="preserve">Profitability splits into the two channels of Section 1. Before tax, the cooperative differential is positive in every specification but significant only in the first two, so by the rule it is null: on operating performance the largest cooperatives earn about what banks of the same size earn, on an intermediation margin indistinguishable from the banks'.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We read the after-tax row as what a cooperative retains, the return that accumulates as capital, and the pre-tax row as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and Figure 6 shows the cooperative median above the bank median for most of the window. Yet the size-controlled mean differential is large and negative in every column of Table 2, and under controls about seven times the conditional median. Figure 4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6).</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5). The tail is thus concentrated among small standalone banks with little risk-weighted exposure, and against deposit-taking banks the capital difference consists of a modest gap in level and a large gap in dispersion.</w:t>
      </w:r>
    </w:p>
    <w:p>
      <w:pPr>
        <w:keepNext/>
        <w:keepLines/>
        <w:spacing w:before="120" w:after="60"/>
        <w:jc w:val="center"/>
      </w:pPr>
      <w:r>
        <w:drawing>
          <wp:inline distT="0" distB="0" distL="0" distR="0">
            <wp:extent cx="4824730" cy="2060346"/>
            <wp:docPr id="104"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4"/>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4.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The same pattern holds for the other outcomes. Averaged over the twentieth to eightieth percentiles, the differential is of similar size to the conditional mean for credit intensity and the after-tax return.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so this comparison probably understates the gap: before tax, the z-score differential is larger and the median gap in return volatility nearly doubles, while the mean volatility differential is smaller, and both keep their sign and significance (Table A11 of the online appendix). Together with the profitability results, cooperatives earn steadier returns on the same intermediation margin and retain more of them.</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5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5"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5"/>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5.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keepNext/>
        <w:keepLines/>
        <w:spacing w:before="120" w:after="60"/>
        <w:jc w:val="center"/>
      </w:pPr>
      <w:r>
        <w:drawing>
          <wp:inline distT="0" distB="0" distL="0" distR="0">
            <wp:extent cx="4824730" cy="3190795"/>
            <wp:docPr id="106"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6"/>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6. </w:t>
      </w:r>
      <w:r>
        <w:t xml:space="preserve">Medians and interquartile ranges, 2017 to 2024</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Supervisory concern attaches to capital, so we also split the sample into terciles of the Basel ratio. No tercile shows cooperatives provisioning less: on the unconditional ratio the differential is positive and significant only in the middle tercile, where most cooperative quarters sit, and on the ratio residualised on size and quarter no tercile differs. Because minimum provisions are a step function of the AA to H rating of each operation, the result most likely describes how the two groups classify their books.</w:t>
      </w:r>
      <w:r>
        <w:rPr>
          <w:rStyle w:val="FootnoteReference"/>
        </w:rPr>
        <w:footnoteReference w:id="2"/>
      </w:r>
    </w:p>
    <w:p>
      <w:pPr>
        <w:jc w:val="both"/>
      </w:pPr>
      <w:r>
        <w:t xml:space="preserve">The intermediation margin behaves in the same way. It is large and highly significant against the broad group, for the same reason. Against banks it is small and insignificant, and against structural banks it turns positive and significant. Its sign depends on the comparison group, so we keep it as a null. The funding ratio is significant in one of four specifications and reverses sign at the conditional median, so we leave it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sector-wide and within-market, and label every claim by the comparison it rests on.</w:t>
      </w:r>
    </w:p>
    <w:p>
      <w:pPr>
        <w:jc w:val="both"/>
      </w:pPr>
      <w:r>
        <w:t xml:space="preserve">One caution applies. With an effective control sample of eighteen, the within-market null may reflect low power as much as the parameter itself. Return volatility survives the within-region comparison, while the z-score, which shares its denominator,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 test of network affiliation as such is beyond it. Cooperatives in both networks hold less regulatory capital than comparable banks, significant under the bootstrap in each. The six independents rest on five treated clusters, and their capital estimate is positive and indistinguishable from noise.</w:t>
      </w:r>
    </w:p>
    <w:p>
      <w:pPr>
        <w:jc w:val="both"/>
      </w:pPr>
      <w:r>
        <w:t xml:space="preserve">The split locates the pooled capital differential in the two large networks without explaining it. A network backstop is one candidate explanation, since a cooperative with centralised liquidity and consolidated risk management behind it may run a thinner individual cushion.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A network-level aggregation is beyond IF.data, which ties a singular to its system but not to its central, but the asymmetry can be bounded. At the end of 2024 the centrals held about a quarter of the singulars' assets, mostly the singulars' own centralised deposits, but about six percent of their regulatory capital and about a tenth of their administrative and personnel expenses, and the fees a singular pays its central are booked as its own expenses. Consolidation would therefore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singular cooperatives are observed under the simplified methodology before they adopt the full methodology during the window. We compare those future adopters with cooperatives that never adopt, on pre-adoption quarters only and conditioning on size and quarter. The two groups show no difference in leverage, but adopters were less credit-intensive (−0.068, </w:t>
      </w:r>
      <w:r>
        <w:rPr>
          <w:i/>
          <w:iCs/>
        </w:rPr>
        <w:t xml:space="preserve">p</w:t>
      </w:r>
      <w:r>
        <w:t xml:space="preserve"> = 0.002), marginally less profitable and marginally leaner. Selection therefore likely biases the credit and profitability estimates towards zero and the efficiency estimate marginally away from it.</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In addition, it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dropping the sector's two cooperative-owned banks, and dropping the six cooperatives that revert to the simplified methodology leave every surviving sign unchanged. The weighted and unweighted matched-sample estimates differ by less than the sampling error.</w:t>
      </w:r>
    </w:p>
    <w:p>
      <w:pPr>
        <w:pStyle w:val="Heading1"/>
        <w:keepNext/>
        <w:keepLines/>
        <w:numPr>
          <w:ilvl w:val="0"/>
          <w:numId w:val="0"/>
        </w:numPr>
        <w:spacing w:before="240" w:after="120"/>
        <w:ind w:left="0" w:firstLine="0"/>
      </w:pPr>
      <w:r>
        <w:t xml:space="preserve">5 Discussion</w:t>
      </w:r>
    </w:p>
    <w:p>
      <w:pPr>
        <w:jc w:val="both"/>
      </w:pPr>
      <w:r>
        <w:t xml:space="preserve">0.97</w:t>
      </w:r>
      <w:r>
        <w:rPr>
          <w:b/>
          <w:bCs/>
        </w:rPr>
        <w:t xml:space="preserve">In plain terms.</w:t>
      </w:r>
      <w:r>
        <w:t xml:space="preserve"> Under the same prudential rules, the largest credit cooperatives lend a larger share of their assets than banks of the same size, run at lower cost and post steadier returns. Before tax they earn about what banks earn; after tax they keep more, because cooperative acts are untaxed, and what they keep is the only capital they can build. Their capital ratios sit in a narrow band: below the bank average, which a few small and heavily capitalised banks pull up, and above comparable banks at the thin end of the distribution, where supervisors look. Two often-cited differences, lower provisioning and thinner margins, vanish once cooperatives are compared with banks alone. For supervisors, this argues for a benchmark calibrated on lending institutions and for reading the whole distribution as well as the mean.</w:t>
      </w:r>
    </w:p>
    <w:p>
      <w:pPr>
        <w:jc w:val="both"/>
      </w:pPr>
      <w:r>
        <w:t xml:space="preserve">The surviving results describe a focused retail lender,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cooperatives earn about what banks earn before tax, retain more after tax because cooperative acts are untaxed, and are less volatile on both measures. On operating profitability the two studies therefore agree more than the after-tax figures suggest; the rest may reflect our population of the largest cooperatives.</w:t>
      </w:r>
    </w:p>
    <w:p>
      <w:pPr>
        <w:jc w:val="both"/>
      </w:pPr>
      <w:r>
        <w:t xml:space="preserve">For supervision, the relevant combination is capital and provisioning taken together. At the thin end of the capital distribution, where prudential concern would attach, cooperatives hold more capital than comparable banks and provision no less. Several differentials that look large at the mean are differentials in dispersion, so we give the conditional median and the quantile profile as much weight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Six limitations bound the claims. 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Finally, a within-institution design around the adoption of the full methodology fails to identify a regime effect: adoption follows growth, which moves every balance-sheet ratio continuously,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in neither the intermediation margin nor the pre-tax return, which match those of banks of the same size. At the banks' median effective rate the cooperatives' median after-tax return would fall from about 2.9 to about 2 percent, and their capital would accumulate about three tenths more slowly. Read with the self-funded FGCoop, the exemption belongs to the same architecture as the guarantee: the sector finances its own cushion and its own safety net.</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fails for the operating return. One resting on credit intensity holds against the national bank population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https://doi.org/10.1590/S0080-21072011000300005</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 w:id="2">
    <w:p>
      <w:pPr>
        <w:pStyle w:val="FootnoteText"/>
        <w:spacing w:after="40"/>
        <w:jc w:val="both"/>
      </w:pPr>
      <w:r>
        <w:rPr>
          <w:rStyle w:val="FootnoteReference"/>
        </w:rPr>
        <w:footnoteRef/>
      </w:r>
      <w:r>
        <w:rPr>
          <w:sz w:val="16"/>
          <w:szCs w:val="16"/>
        </w:rPr>
        <w:t xml:space="preserve"> </w:t>
      </w:r>
      <w:r>
        <w:rPr>
          <w:sz w:val="16"/>
          <w:szCs w:val="16"/>
        </w:rPr>
        <w:t xml:space="preserve">Provisioning is observed for nearly all cooperative-quarters and for about five in six bank-quarters; the gaps concentrate among the low-credit institutions the ladder removes and in 2023, when bank coverage falls to about two thirds.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