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they earn about what banks of the same size earn, on an intermediation margin indistinguishable from the banks'; after tax they retain about two percentage points more, in substantial part because cooperative acts are exempt from income tax and social contribution. The pre-tax gap under controls is about three fifths of the after-tax one and is not established on the matched or common-support samples, so by the classification rule it is null while the after-tax gap is stable.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an operating return similar to that of banks on similar spreads, retains more of it after tax and sits in a narrow band of the capital distribution. The results agree with Hesse and Čihák (2007) on lower capitalisation and lower return volatility and differ on profitability only after tax; before tax the two populations earn about the same, and the difference is the fiscal treatment of cooperative acts.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and return stability holds against every definition of a bank we tried, and one resting on profitability holds for the retained return and fails for the operating return.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