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they earn about what banks earn, and after tax they retain about two percentage points more, in substantial part because cooperative acts are untaxed.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barely lends, it measures cooperatives against a standard drawn from a different kind of institution. Whether it does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 a magnitude that holds across the distribution,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on operating performance the largest cooperatives earn about what banks of the same size earn, on an intermediation margin indistinguishable from the banks'.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We read the after-tax row as what a cooperative retains, the return that accumulates as capital, and the pre-tax row as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The tail is thus concentrated among small standalone banks with little risk-weighted exposure, and against deposit-taking banks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for the same reason.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One caution applies. With an effective control sample of eighteen, the within-market null may reflect low power as much as the parameter itself.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0.97</w:t>
      </w:r>
      <w:r>
        <w:rPr>
          <w:b/>
          <w:bCs/>
        </w:rPr>
        <w:t xml:space="preserve">In plain terms.</w:t>
      </w:r>
      <w:r>
        <w:t xml:space="preserve"> Under the same prudential rules, the largest credit cooperatives lend a larger share of their assets than banks of the same size, run at lower cost and post steadier returns. Before tax they earn about what banks earn; after tax they keep more, because cooperative acts are untaxed, and what they keep is the only capital they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earn about what banks earn before tax, retain more after tax because cooperative acts are untaxed, and are less volatile on both measures. On operating profitability the two studies therefore agree more than the after-tax figures suggest; the rest may reflect our population of the largest cooperatives.</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the adoption of the full methodology fails to identify a regime effect: adoption follows growth, which moves every balance-sheet ratio continuously,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in neither the intermediation margin nor the pre-tax return, which match those of banks of the same size. At the banks' median effective rate the cooperatives' median after-tax return would fall from about 2.9 to about 2 percent, and their capital would accumulate about three tenths more slowly. Read with the self-funded FGCoop, the exemption belongs to the same architecture as the guarantee: the sector finances its own cushion and its own safety net.</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fails for the operating return.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