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Three results emerge. First, at comparable size cooperatives lend a larger share of their assets than banks nationally, operate at lower cost and show steadier returns. Before tax the typical cooperative earns more than a comparable bank, though the mean gap is not established; after tax it retains about two percentage points more, of which the tax exemption explains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Under the same prudential rules, the largest credit cooperatives lend a larger share of their assets than banks of the same size, run at lower cost and post steadier returns. Before tax the typical cooperative earns somewhat more than a comparable bank, although the average gap depends on the specification; after tax it keeps about two percentage points more, of which the tax exemption explains about two fifths, and what it keeps is the only capital it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