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 typical cooperative earns more than a comparable bank, although the mean gap does not hold across specifications, and after tax cooperatives retain about two percentage points more, of which the tax exemption of cooperative acts accounts for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