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[0000-0000-0000-0000], arthurgomesqq@gmail.com</w:t>
      </w:r>
      <w:r>
        <w:rPr>
          <w:rStyle w:val="Autor2"/>
        </w:rPr>
        <w:t xml:space="preserve">; </w:t>
      </w:r>
      <w:r>
        <w:rPr>
          <w:rStyle w:val="Autor2"/>
          <w:vertAlign w:val="superscript"/>
        </w:rPr>
        <w:t xml:space="preserve">b</w:t>
      </w:r>
      <w:r>
        <w:rPr>
          <w:rStyle w:val="Autor2"/>
        </w:rPr>
        <w:t xml:space="preserve">Organization of Brazilian Cooperatives (OCB System) and Department of Administration, University of Brasilia, Brasília, Brazil, ORCID [0000-0000-0000-0000], [email]</w:t>
      </w:r>
      <w:r>
        <w:rPr>
          <w:rStyle w:val="Autor2"/>
        </w:rPr>
        <w:t xml:space="preserve">; and </w:t>
      </w:r>
      <w:r>
        <w:rPr>
          <w:rStyle w:val="Autor2"/>
          <w:vertAlign w:val="superscript"/>
        </w:rPr>
        <w:t xml:space="preserve">c</w:t>
      </w:r>
      <w:r>
        <w:rPr>
          <w:rStyle w:val="Autor2"/>
        </w:rPr>
        <w:t xml:space="preserve">Organization of Brazilian Cooperatives (OCB System), Brasília, Brazil, ORCID [0000-0000-0000-0000], [email]</w:t>
      </w:r>
    </w:p>
    <w:p>
      <w:pPr>
        <w:spacing w:after="240"/>
        <w:jc w:val="center"/>
      </w:pPr>
      <w:r>
        <w:rPr>
          <w:i/>
          <w:iCs/>
        </w:rPr>
        <w:t xml:space="preserve">Award category:</w:t>
      </w:r>
      <w:r>
        <w:t xml:space="preserve"> Best Young and Emerging Scholar Paper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We use this setting to ask whether the cooperative form retains distinct balance-sheet characteristics. Using a quarterly panel of every full-methodology institution from 2017 to 2024, 130 singular credit cooperatives and 144 banks, we relate ten measures of capital, performance, stability and balance-sheet structure to a cooperative dummy. The estimates control for size and time and are repeated on a matched sample, on the region of common support and across five comparison groups. Three results emerge. First, cooperatives of comparable size allocate more of their assets to credit than banks nationally, operate at lower cost, show lower return volatility and earn a higher return on assets after tax, a gap that the tax exemption of cooperative acts explains in part. Second, capital differs modestly in level and markedly in dispersion. The mean gap comes largely from small banks that barely intermediate and hold capital ratios above fifty percent, and it roughly halves against deposit-funded banks. Among thinly capitalised institutions, cooperatives hold more capital than banks and provision no less. Third, lower provisioning and narrower margins, two differences often reported, disappear once the comparison group is restricted to banks. A benchmark calibrated on the average institution may therefore describe the locally lending cooperative poorly, which bears on institutional resilience and on the territorial role of cooperative lenders.</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under Resolution 4.194/2013 until February 2018 and Resolution 4.606/2017 thereafter (Conselho Monetário Nacional, 2017b). Commercial, multiple, investment and exchange banks are excluded from S5 at any size. Membership of S5 therefore follows from the choice of methodology, and an institution that stops using the simplified method is reassigned to S4.</w:t>
      </w:r>
      <w:r>
        <w:rPr>
          <w:rStyle w:val="FootnoteReference"/>
        </w:rPr>
        <w:footnoteReference w:id="1"/>
      </w:r>
      <w:r>
        <w:t xml:space="preserve"> Institutions outside S5 apply the </w:t>
      </w:r>
      <w:r>
        <w:rPr>
          <w:i/>
          <w:iCs/>
        </w:rPr>
        <w:t xml:space="preserve">Patrimônio de Referência</w:t>
      </w:r>
      <w:r>
        <w:t xml:space="preserve"> capital definition, minimum requirements and risk-weighted-asset computation of Resolutions 4.192 and 4.193 of 2013 and, from 3 January 2022, of Resolutions 4.955 and 4.958 (Conselho Monetário Nacional, 2013a, 2013b, 2021a, 2021b). Loan classification and minimum provisioning follow Resolution 2.682/1999 throughout the window, since its expected-loss successor took effect only in 2025 (Conselho Monetário Nacional, 1999, 2021c).</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2015a, 2017c, 2017d, 2021b). Those segments contain banks only, and Section 4.6 shows that excluding them changes little.</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and Resolution 4.434/2015 (Brasil, 2009; Conselho Monetário Nacional, 2015b). Cooperatives held about six percent of system assets at the end of 2024 and 6.3 percent a year later, and their share has risen in every year since 2020 (Banco Central do Brasil, 2025, 2026).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If the prudential benchmark reflects an average institution that does not lend, it measures cooperatives against a standard drawn from a different kind of institution. Whether it does is the question we ask, and the answer bears on institutional resilience and on the territorial role of cooperative lenders.</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capitalised by the cooperatives at a flat rate that ignores each member's risk, with no central bank lender of last resort behind it (Coelho et al., 2019). One reading of the prudential rationale is a representation argument, in which the supervisor acts on behalf of small, dispersed depositors who cannot monitor a leveraged intermediary. In a credit cooperative the depositor is also a member with a residual claim and a governance right, and in the integrated systems a central body supplies consolidated monitoring. The monitoring problem is therefore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Castro Carvalho et al., 2017). Where supervisors adapt the framework to financial cooperatives, the adaptation concerns the capital treatment of member shares and the arrangements within networks, while supervisory powers remain those applied to commercial banks (Coelho et al., 2019). Responsive regulation (Ayres &amp; Braithwaite, 1992; Baldwin &amp; Black, 2008) treats the structure of the regulated industry and the motivations of its firms as inputs to how a regime engages them. Organisational form and network membership then become candidate calibration margins, and the profile of each form decides whether they point to lighter treatment or closer scrutiny. This paper provides that profile.</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Basel III admits the member shares of mutuals and cooperatives as common equity under criteria adapted to their legal form (Basel Committee on Banking Supervision, 2011). However, the shares remain redeemable claims of members and cannot be placed with outside investors. The member's claim carries the five property-rights problems that Cook (1995) sets out: free-rider, horizon, portfolio, control and influence costs, which together weaken the incentive to build capital beyond what member service requires. In Hansmann's terms the claim is tied to use of the institution, so capital accumulation is instrumental to member credit (Hansmann, 1996).</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Iannotta et al. (2007) and Beck et al. (2009) find that ownership structure predicts risk and performance across European banks and within Germany, and Becchetti et al. (2016) and Ferri et al. (2014) show that it shapes lending.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None of these studies compares cooperatives with banks under a common prudential methodology, which is the setting we use here.</w:t>
      </w:r>
    </w:p>
    <w:p>
      <w:pPr>
        <w:jc w:val="both"/>
      </w:pPr>
      <w:r>
        <w:t xml:space="preserve">A further question is asked less often: which institutions the comparison group contains. Regulatory populations are defined by legal category and can include institutions with little economic resemblance to a bank. Of the 483 non-cooperative institutions under the full methodology in Brazil, 158 report a median credit-to-assets ratio of zero and a median ratio of funds raised to assets of zero.</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correct two features of the source data that distort the rate variables, and separate sector-wide differences from differences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return on assets, while the cost discipline of a focused retail model would raise it, and the tax exemption of cooperative acts raises the after-tax return mechanically, so we examine the return before tax as well.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 which institutions form the comparison group, how cumulative accounting flows are converted into rates, and how a matched estimator is weighted.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Each source is deduplicated on the institution-quarter key before merging, keeping the most complete record, and the raw panel runs from 2014Q1 to 2024Q4. All tables and figures are the authors' calculations from the IF.data files.</w:t>
      </w:r>
    </w:p>
    <w:p>
      <w:pPr>
        <w:jc w:val="both"/>
      </w:pPr>
      <w:r>
        <w:t xml:space="preserve">The panel is IF.data's prudential-conglomerate report, and every row carries its reporting level. Of the banks, 87 report as consolidations and 57 individually, and some switch within the window. All cooperatives report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both </w:t>
      </w:r>
      <w:r>
        <w:rPr>
          <w:rFonts w:ascii="Consolas" w:hAnsi="Consolas" w:cs="Consolas"/>
        </w:rPr>
        <w:t xml:space="preserve">b1</w:t>
      </w:r>
      <w:r>
        <w:t xml:space="preserve"> commercial banks,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and never on an outcome.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Of the 339 institutions in the broad group outside the bank rung, 335 are non-banking, and 158 institutions, almost all of them non-banking, have a median of zero credit and zero funds raised (Figure 2). Their presence makes the credit and funding differentials mechanical, but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eight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the cooperatives dropped are late entrants to the full methodology. Because the unit is the institution, these two outcomes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(Lei 4.595/1964), and the IF.data income fields reset at each date. The median ratio of the fourth-quarter to the first-quarter value is between 2.2 and 2.3 for every income field and close to one for balance-sheet stocks. We de-cumulate within each semester and annualise, which scales the return on assets coefficient by about 2.7 and leaves every stock-based coefficient unchanged. Second, the intermediation result is reported net of loan loss provisions, because the expense subtotal (</w:t>
      </w:r>
      <w:r>
        <w:rPr>
          <w:i/>
          <w:iCs/>
        </w:rPr>
        <w:t xml:space="preserve">b</w:t>
      </w:r>
      <w:r>
        <w:t xml:space="preserve">) contains line (</w:t>
      </w:r>
      <w:r>
        <w:rPr>
          <w:i/>
          <w:iCs/>
        </w:rPr>
        <w:t xml:space="preserve">b</w:t>
      </w:r>
      <w:r>
        <w:t xml:space="preserve">5), </w:t>
      </w:r>
      <w:r>
        <w:rPr>
          <w:i/>
          <w:iCs/>
        </w:rPr>
        <w:t xml:space="preserve">Resultado de Provisão para Créditos de Difícil Liquidação</w:t>
      </w:r>
      <w:r>
        <w:t xml:space="preserve">,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The minimum provision is a step function of the AA to H rating assigned to each operation, so the ratio reflects how the institution classifies its book and is a weak proxy for realised delinquency.</w:t>
      </w:r>
    </w:p>
    <w:p>
      <w:pPr>
        <w:jc w:val="both"/>
      </w:pPr>
      <w:r>
        <w:t xml:space="preserve">Return on assets uses line (</w:t>
      </w:r>
      <w:r>
        <w:rPr>
          <w:i/>
          <w:iCs/>
        </w:rPr>
        <w:t xml:space="preserve">j</w:t>
      </w:r>
      <w:r>
        <w:t xml:space="preserve">), net income after income tax, social contribution and profit sharing. For a cooperative this is the surplus before its allocation to reserves and to interest on member capital, which line (</w:t>
      </w:r>
      <w:r>
        <w:rPr>
          <w:i/>
          <w:iCs/>
        </w:rPr>
        <w:t xml:space="preserve">k</w:t>
      </w:r>
      <w:r>
        <w:t xml:space="preserve">) reports separately. Because cooperative acts are exempt from both taxes, Section 4 re-estimates the return on the pre-tax result, line (</w:t>
      </w:r>
      <w:r>
        <w:rPr>
          <w:i/>
          <w:iCs/>
        </w:rPr>
        <w:t xml:space="preserve">g</w:t>
      </w:r>
      <w:r>
        <w:t xml:space="preserve">).</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w:t>
            </w:r>
          </w:p>
        </w:tc>
        <w:tc>
          <w:tcPr>
            <w:tcW w:w="5598" w:type="dxa"/>
          </w:tcPr>
          <w:p>
            <w:pPr>
              <w:spacing w:before="20" w:after="20" w:line="240" w:lineRule="auto"/>
              <w:jc w:val="left"/>
            </w:pPr>
            <w:r>
              <w:rPr>
                <w:sz w:val="18"/>
                <w:szCs w:val="18"/>
              </w:rPr>
              <w:t xml:space="preserve">4× (quarterly net income, line (j) de-cumulated within the semester)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 de-cumulated within the semester</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 de-cumulated within the semester</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 (at least eight)</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 (at least eight quarters)</w:t>
            </w:r>
          </w:p>
        </w:tc>
      </w:tr>
    </w:tbl>
    <w:p>
      <w:pPr>
        <w:spacing w:before="60" w:after="200" w:line="240" w:lineRule="auto"/>
        <w:jc w:val="both"/>
      </w:pPr>
      <w:r>
        <w:rPr>
          <w:sz w:val="16"/>
          <w:szCs w:val="16"/>
        </w:rPr>
        <w:t xml:space="preserve">IF.data lines: (a) intermediation revenue, (b) intermediation expense, carried as a negative, (c)  =  (a)  +  (b) intermediation result, (b5) loan-loss provision result within (b), (d2) fee income, (d3) personnel expense, (d4) administrative expense,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does not vary within an institution, so it is collinear with any institution fixed effect. The estimates are conditional correlations, and we do not present them as causal effects of organisational form.</w:t>
      </w:r>
    </w:p>
    <w:p>
      <w:pPr>
        <w:jc w:val="both"/>
      </w:pPr>
      <w:r>
        <w:t xml:space="preserve">The coarsened-exact-matching estimand weights control units so that the treated-to-control ratio is equal within every stratum (Iacus et al., 2012). OLS on the matched sample does not recover it, since unweighted strata are implicitly weighted by their control counts. We report the weighted estimand and the unweighted matched-sample regression together. We coarsen on size quintile and control for region. Region-exact matching would leave too few controls: cooperatives concentrate in the South and banks in the Southeast, so region-exact strata leave an effective control sample of about eighteen institutions by the Kish measure,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(Abadie et al., 2023; Cameron &amp; Miller, 2015). Inference from clustered standard errors is unreliable when few clusters are treated (MacKinnon &amp; Webb, 2017), as in the system-by-system estimates. We therefore compute a restricted wild cluster bootstrap with Rademacher weights for every coefficient (Cameron et al., 2008). In simulations on our design with six treated clusters, the clustered test rejects a true null 16 percent of the time at a nominal 5 percent level. The wild bootstrap comes closer to the nominal level and is correctly sized at one percent. System-level estimates report the number of treated clusters, and quantile coefficients carry intervals from an institution bootstrap. Several outcomes are right-skewed, so we report the conditional median alongside the conditional mean.</w:t>
      </w:r>
    </w:p>
    <w:p>
      <w:pPr>
        <w:jc w:val="both"/>
      </w:pPr>
      <w:r>
        <w:t xml:space="preserve">We classify each outcome by an explicit rule, reported in the last column of Table 2. An outcome is </w:t>
      </w:r>
      <w:r>
        <w:rPr>
          <w:i/>
          <w:iCs/>
        </w:rPr>
        <w:t xml:space="preserve">null</w:t>
      </w:r>
      <w:r>
        <w:t xml:space="preserve"> unless it is significant at five percent, with one sign, in all four specifications. A significant outcome is </w:t>
      </w:r>
      <w:r>
        <w:rPr>
          <w:i/>
          <w:iCs/>
        </w:rPr>
        <w:t xml:space="preserve">stable</w:t>
      </w:r>
      <w:r>
        <w:t xml:space="preserve"> if it stays significant under every winsorisation rule, varies by less than a factor of two across those rules, and has an average quantile coefficient between the twentieth and eightieth percentiles of at least half the conditional mean. Otherwise it is </w:t>
      </w:r>
      <w:r>
        <w:rPr>
          <w:i/>
          <w:iCs/>
        </w:rPr>
        <w:t xml:space="preserve">stable in sign</w:t>
      </w:r>
      <w:r>
        <w:t xml:space="preserve">: the direction holds, but the tails or the shape of the distribution drive the magnitude.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About half the bank population therefore has no cooperative counterpart at any size. Matching and trimming bring the standardised difference in log assets from −0.72 to close to zero. Unconditional means and medians are in the online appendix.</w:t>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 |β</w:t>
      </w:r>
      <w:r>
        <w:rPr>
          <w:vertAlign w:val="subscript"/>
        </w:rPr>
        <w:t xml:space="preserve">trim</w:t>
      </w:r>
      <w:r>
        <w:t xml:space="preserve">| / |β</w:t>
      </w:r>
      <w:r>
        <w:rPr>
          <w:vertAlign w:val="subscript"/>
        </w:rPr>
        <w:t xml:space="preserve">raw</w:t>
      </w:r>
      <w:r>
        <w:t xml:space="preserve">|.</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eight quarterly outcomes keep their sign and significance across all four specifications and every winsorisation rule, including no winsorisation. Their retention ratios are above one, except for return on assets, which keeps most of its raw value. A size-composition artefact would shrink as size is held more tightly, so this pattern points away from that explanation. However, trimming also narrows the control set, and the ratio is not a formal test. By the rule of Section 3.4, credit intensity, return on assets and return volatility are stable. Capital, leverage and cost-to-income are stable in sign, while provisioning, the margin and funding are null. The capital coefficient should not be read at face value: under controls its conditional mean is about seven times its conditional median, because the mean mostly reflects the upper tail of the bank distribution, as we show below.</w:t>
      </w:r>
    </w:p>
    <w:p>
      <w:pPr>
        <w:jc w:val="both"/>
      </w:pPr>
      <w:r>
        <w:t xml:space="preserve">Cooperatives allocate a larger share of the balance sheet to credit, by nearly a fifth of total assets under controls and by more at the conditional median. The differential moves little across the four columns and changes by less than one percentage point across winsorisation rules. Cooperatives also earn a higher return on assets, by about two percentage points under controls and somewhat less at the conditional median, a large gap by the standards of the banking literature. Their intermediation margin is indistinguishable from that of banks, so the higher return appears to come from lending volume and lower cost.</w:t>
      </w:r>
    </w:p>
    <w:p>
      <w:pPr>
        <w:jc w:val="both"/>
      </w:pPr>
      <w:r>
        <w:t xml:space="preserve">Part of the return gap is tax. Among quarters with a positive pre-tax result, the median effective rate of income tax and social contribution is about a third for banks and close to zero for cooperatives. Re-estimated on the pre-tax result, the controlled differential is about three fifths of the after-tax figure and remains significant under the bootstrap, and the conditional median keeps about five sixths of its value, but the coefficient is marginal on the matched sample and not distinguishable from zero on common support (Table A11 of the online appendix). By the rule of Section 3.4 the pre-tax differential is not established. Table 2 keeps the after-tax measure, the return that accumulates as capital, and we read the profitability result as a difference after tax.</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and Figure 6 shows the cooperative median above the bank median for most of the window. Yet the size-controlled mean differential is large and negative in every column of Table 2. Figure 4 reconciles the two: the cooperative coefficient is positive at the bottom of the conditional capital distribution and negative at the top, and it crosses zero near the fortieth percentile. Its bootstrap interval lies above zero at the twenty-fifth percentile, includes zero at the median and lies well below zero at the seventy-fifth.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and the shaded bands of Figure 6 show the same contrast in every quarter.</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0.152]</w:t>
            </w:r>
          </w:p>
        </w:tc>
        <w:tc>
          <w:tcPr>
            <w:tcW w:w="1016" w:type="dxa"/>
          </w:tcPr>
          <w:p>
            <w:pPr>
              <w:spacing w:before="20" w:after="20" w:line="240" w:lineRule="auto"/>
              <w:jc w:val="right"/>
            </w:pPr>
            <w:r>
              <w:rPr>
                <w:sz w:val="15"/>
                <w:szCs w:val="15"/>
              </w:rPr>
              <w:t xml:space="preserve">[-0.057, 0.053]</w:t>
            </w:r>
          </w:p>
        </w:tc>
        <w:tc>
          <w:tcPr>
            <w:tcW w:w="1016" w:type="dxa"/>
          </w:tcPr>
          <w:p>
            <w:pPr>
              <w:spacing w:before="20" w:after="20" w:line="240" w:lineRule="auto"/>
              <w:jc w:val="right"/>
            </w:pPr>
            <w:r>
              <w:rPr>
                <w:sz w:val="15"/>
                <w:szCs w:val="15"/>
              </w:rPr>
              <w:t xml:space="preserve">[-0.277, -0.099]</w:t>
            </w:r>
          </w:p>
        </w:tc>
        <w:tc>
          <w:tcPr>
            <w:tcW w:w="1016" w:type="dxa"/>
          </w:tcPr>
          <w:p>
            <w:pPr>
              <w:spacing w:before="20" w:after="20" w:line="240" w:lineRule="auto"/>
              <w:jc w:val="right"/>
            </w:pPr>
            <w:r>
              <w:rPr>
                <w:sz w:val="15"/>
                <w:szCs w:val="15"/>
              </w:rPr>
              <w:t xml:space="preserve">[-0.882, -0.476]</w:t>
            </w:r>
          </w:p>
        </w:tc>
        <w:tc>
          <w:tcPr>
            <w:tcW w:w="1016" w:type="dxa"/>
          </w:tcPr>
          <w:p>
            <w:pPr>
              <w:spacing w:before="20" w:after="20" w:line="240" w:lineRule="auto"/>
              <w:jc w:val="right"/>
            </w:pPr>
            <w:r>
              <w:rPr>
                <w:sz w:val="15"/>
                <w:szCs w:val="15"/>
              </w:rPr>
              <w:t xml:space="preserve">[-2.609, -1.147]</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[0.342, 0.429]</w:t>
            </w:r>
          </w:p>
        </w:tc>
        <w:tc>
          <w:tcPr>
            <w:tcW w:w="1016" w:type="dxa"/>
          </w:tcPr>
          <w:p>
            <w:pPr>
              <w:spacing w:before="20" w:after="20" w:line="240" w:lineRule="auto"/>
              <w:jc w:val="right"/>
            </w:pPr>
            <w:r>
              <w:rPr>
                <w:sz w:val="15"/>
                <w:szCs w:val="15"/>
              </w:rPr>
              <w:t xml:space="preserve">[0.361, 0.467]</w:t>
            </w:r>
          </w:p>
        </w:tc>
        <w:tc>
          <w:tcPr>
            <w:tcW w:w="1016" w:type="dxa"/>
          </w:tcPr>
          <w:p>
            <w:pPr>
              <w:spacing w:before="20" w:after="20" w:line="240" w:lineRule="auto"/>
              <w:jc w:val="right"/>
            </w:pPr>
            <w:r>
              <w:rPr>
                <w:sz w:val="15"/>
                <w:szCs w:val="15"/>
              </w:rPr>
              <w:t xml:space="preserve">[0.137, 0.353]</w:t>
            </w:r>
          </w:p>
        </w:tc>
        <w:tc>
          <w:tcPr>
            <w:tcW w:w="1016" w:type="dxa"/>
          </w:tcPr>
          <w:p>
            <w:pPr>
              <w:spacing w:before="20" w:after="20" w:line="240" w:lineRule="auto"/>
              <w:jc w:val="right"/>
            </w:pPr>
            <w:r>
              <w:rPr>
                <w:sz w:val="15"/>
                <w:szCs w:val="15"/>
              </w:rPr>
              <w:t xml:space="preserve">[-0.100, 0.068]</w:t>
            </w:r>
          </w:p>
        </w:tc>
        <w:tc>
          <w:tcPr>
            <w:tcW w:w="1016" w:type="dxa"/>
          </w:tcPr>
          <w:p>
            <w:pPr>
              <w:spacing w:before="20" w:after="20" w:line="240" w:lineRule="auto"/>
              <w:jc w:val="right"/>
            </w:pPr>
            <w:r>
              <w:rPr>
                <w:sz w:val="15"/>
                <w:szCs w:val="15"/>
              </w:rPr>
              <w:t xml:space="preserve">[-0.219, -0.108]</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[0.016, 0.029]</w:t>
            </w:r>
          </w:p>
        </w:tc>
        <w:tc>
          <w:tcPr>
            <w:tcW w:w="1016" w:type="dxa"/>
            <w:tcBorders>
              <w:bottom w:val="single" w:sz="8" w:space="0" w:color="auto"/>
            </w:tcBorders>
          </w:tcPr>
          <w:p>
            <w:pPr>
              <w:spacing w:before="20" w:after="20" w:line="240" w:lineRule="auto"/>
              <w:jc w:val="right"/>
            </w:pPr>
            <w:r>
              <w:rPr>
                <w:sz w:val="15"/>
                <w:szCs w:val="15"/>
              </w:rPr>
              <w:t xml:space="preserve">[-0.017, 0.018]</w:t>
            </w:r>
          </w:p>
        </w:tc>
        <w:tc>
          <w:tcPr>
            <w:tcW w:w="1016" w:type="dxa"/>
            <w:tcBorders>
              <w:bottom w:val="single" w:sz="8" w:space="0" w:color="auto"/>
            </w:tcBorders>
          </w:tcPr>
          <w:p>
            <w:pPr>
              <w:spacing w:before="20" w:after="20" w:line="240" w:lineRule="auto"/>
              <w:jc w:val="right"/>
            </w:pPr>
            <w:r>
              <w:rPr>
                <w:sz w:val="15"/>
                <w:szCs w:val="15"/>
              </w:rPr>
              <w:t xml:space="preserve">[-0.093, -0.015]</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We examine two possible explanations of the bank upper tail. The first is reporting level. The tail sits among the banks that report individually, whose ninetieth percentile is far above that of the consolidations. The controlled gap against them is about four times the gap against the consolidations and has the same sign-crossing shape. Against the consolidations the gap is marginal, with a positive median coefficient (online appendix). The second is business model. Requiring a bank to be deposit-funded in every quarter, the structural rung, roughly halves both the share of bank-quarters above 50 percent and the estimated mean gap, which remains significant (Figure 5). The evidence is consistent with the bank upper tail being concentrated among small standalone banks with little risk-weighted exposure. Against banks that lend and take deposits, the capital difference consists of a modest gap in level and a large gap in dispersion.</w:t>
      </w:r>
    </w:p>
    <w:p>
      <w:pPr>
        <w:keepNext/>
        <w:keepLines/>
        <w:spacing w:before="120" w:after="60"/>
        <w:jc w:val="center"/>
      </w:pPr>
      <w:r>
        <w:drawing>
          <wp:inline distT="0" distB="0" distL="0" distR="0">
            <wp:extent cx="4824730" cy="2060346"/>
            <wp:docPr id="104"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4"/>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4.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The same pattern holds for the other outcomes. Averaged over the twentieth to eightieth percentiles, the differential is of similar size to the conditional mean for credit intensity and return on assets, so for those two the mean describes the typical institution.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Because the two measures share the standard deviation of return on assets, we treat them as one result, with volatility as the primary measure. Together with the return on assets result, this means that cooperatives earn higher after-tax and less volatile returns on the same intermediation margin.</w:t>
      </w:r>
    </w:p>
    <w:p>
      <w:pPr>
        <w:pStyle w:val="Heading2"/>
        <w:keepNext/>
        <w:keepLines/>
        <w:numPr>
          <w:ilvl w:val="0"/>
          <w:numId w:val="0"/>
        </w:numPr>
        <w:spacing w:before="200" w:after="80"/>
        <w:ind w:left="0" w:firstLine="0"/>
      </w:pPr>
      <w:r>
        <w:t xml:space="preserve">4.2 Comparison-group dependence</w:t>
      </w:r>
    </w:p>
    <w:p>
      <w:pPr>
        <w:jc w:val="both"/>
      </w:pPr>
      <w:r>
        <w:t xml:space="preserve">Figure 5 re-estimates every outcome on five rungs: the broad group, banks, banks within macro-region, commercial banks and structural banks. Return on assets, cost-to-income and return volatility keep their sign on every rung and hold at one percent on all of them except the within-region comparison, where the first two hold at five percent. Credit intensity holds at one percent on the four national rungs and is not distinguishable from zero within region (Section 4.3). Dropping the sector's two cooperative-owned banks changes every coefficient by 1.3 percent or less, apart from the provisioning coefficient, which stays within 0.0002 of zero. Two results that appear against the broad group disappear against banks.</w:t>
      </w:r>
    </w:p>
    <w:p>
      <w:pPr>
        <w:keepNext/>
        <w:keepLines/>
        <w:spacing w:before="120" w:after="60"/>
        <w:jc w:val="center"/>
      </w:pPr>
      <w:r>
        <w:drawing>
          <wp:inline distT="0" distB="0" distL="0" distR="0">
            <wp:extent cx="4824730" cy="4901884"/>
            <wp:docPr id="105"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5"/>
                    <a:stretch>
                      <a:fillRect/>
                    </a:stretch>
                  </pic:blipFill>
                  <pic:spPr>
                    <a:xfrm>
                      <a:off x="0" y="0"/>
                      <a:ext cx="4824730" cy="4901884"/>
                    </a:xfrm>
                    <a:prstGeom prst="rect">
                      <a:avLst/>
                    </a:prstGeom>
                  </pic:spPr>
                </pic:pic>
              </a:graphicData>
            </a:graphic>
          </wp:inline>
        </w:drawing>
      </w:r>
    </w:p>
    <w:p>
      <w:pPr>
        <w:pStyle w:val="TablaImagen-Ttulo"/>
        <w:keepNext/>
        <w:keepLines/>
        <w:spacing w:before="0" w:after="60"/>
      </w:pPr>
      <w:r>
        <w:rPr>
          <w:b/>
          <w:bCs/>
        </w:rPr>
        <w:t xml:space="preserve">Figure 5.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keepNext/>
        <w:keepLines/>
        <w:spacing w:before="120" w:after="60"/>
        <w:jc w:val="center"/>
      </w:pPr>
      <w:r>
        <w:drawing>
          <wp:inline distT="0" distB="0" distL="0" distR="0">
            <wp:extent cx="4824730" cy="3190795"/>
            <wp:docPr id="106"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6"/>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6. </w:t>
      </w:r>
      <w:r>
        <w:t xml:space="preserve">Medians and interquartile ranges, 2017 to 2024</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the institutions that do not lend barely enter, since fewer than five percent of their quarters carry the ratio. At the conditional median the sign reverses, with cooperatives provisioning more, and under the tightest winsorisation rule the mean coefficient also turns positive and significant. Supervisory concern attaches to capital, so we also split the sample into terciles of the Basel ratio. No tercile shows cooperatives provisioning less: on the unconditional ratio the differential is positive and significant only in the middle tercile, where most cooperative quarters sit, and on the ratio residualised on size and quarter no tercile differs. Because minimum provisions are a step function of the AA to H rating of each operation, the result most likely describes how the two groups classify their books.</w:t>
      </w:r>
      <w:r>
        <w:rPr>
          <w:rStyle w:val="FootnoteReference"/>
        </w:rPr>
        <w:footnoteReference w:id="2"/>
      </w:r>
    </w:p>
    <w:p>
      <w:pPr>
        <w:jc w:val="both"/>
      </w:pPr>
      <w:r>
        <w:t xml:space="preserve">The intermediation margin behaves in the same way. It is large and highly significant against the broad group, whose non-banking members report intermediation margins several times those of banks and cooperatives relative to assets. Against banks it is small and insignificant, and against structural banks it turns positive and significant. Its sign depends on the comparison group, so we keep it as a null. The funding ratio is significant in one of four specifications and reverses sign at the conditional median, so we do not report it as a finding.</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not distinguishable from zero under any coarsening scheme. Cooperatives thus lend more than the national bank population, while within regional markets the difference cannot be told apart from zero. However, which estimate is the parameter of interest depends on an assumption we cannot test. If cooperatives concentrate where they do for reasons internal to member-based finance, region is a mediator and the size-only estimate is the parameter. If regional market structure is heterogeneity unrelated to form, region is a confounder and credit intensity is a null. We report the two as distinct parameters, the sector-wide and the within-market differential, and label every claim by the comparison it rests on.</w:t>
      </w:r>
    </w:p>
    <w:p>
      <w:pPr>
        <w:jc w:val="both"/>
      </w:pPr>
      <w:r>
        <w:t xml:space="preserve">One caution applies. With an effective control sample of eighteen, the within-market null may reflect low power as much as the parameter itself (Figure 5 shows the intervals). Return volatility survives the within-region comparison, while the z-score, which shares its denominator,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so the split describes those two networks and cannot test network affiliation as such. Cooperatives in both networks hold less regulatory capital than comparable banks, significant under the bootstrap in each. The six independents rest on five treated clusters, three of which supply nearly all the quarters. Their capital estimate is positive and cannot be separated from noise.</w:t>
      </w:r>
    </w:p>
    <w:p>
      <w:pPr>
        <w:jc w:val="both"/>
      </w:pPr>
      <w:r>
        <w:t xml:space="preserve">The split locates the pooled capital differential in the two large networks without explaining it. A network backstop is one candidate explanation, since a cooperative with centralised liquidity and consolidated risk management behind it may run a thinner individual cushion. The networks also differ in the size, geography, business mix and governance of their affiliates, and the split cannot separate the backstop from these. Provisioning is insignificant in every system.</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singular cooperatives are observed under the simplified methodology before they adopt the full methodology during the window.</w:t>
      </w:r>
      <w:r>
        <w:rPr>
          <w:rStyle w:val="FootnoteReference"/>
        </w:rPr>
        <w:footnoteReference w:id="3"/>
      </w:r>
      <w:r>
        <w:t xml:space="preserve"> We compare those future adopters with cooperatives that never adopt, on pre-adoption quarters only and conditioning on size and quarter. The two groups show no difference in leverage, but adopters were less credit-intensive (−0.068, </w:t>
      </w:r>
      <w:r>
        <w:rPr>
          <w:i/>
          <w:iCs/>
        </w:rPr>
        <w:t xml:space="preserve">p</w:t>
      </w:r>
      <w:r>
        <w:t xml:space="preserve"> = 0.002) and marginally less profitable, which runs against our findings. They were also marginally leaner, which runs with them. As a result, selection likely biases the credit and profitability estimates towards zero and, if anything, the efficiency estimate marginally away from it.</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In addition, it reports a split at the January 2022 replacement of the 2013 capital rules. Every surviving result keeps its sign and significance in both subperiods, and provisioning and the margin remain null in both. Magnitudes are roughly a fifth smaller after 2022, so the comparison under a common methodology holds across the methodology's own revision. Four winsorisation rules, re-estimation on the rows where provisioning is observed, and dropping the six cooperatives that revert to the simplified methodology leave every surviving sign unchanged. The weighted and unweighted matched-sample estimates differ by less than the sampling error; the largest difference is for the capital ratio, where the weighted estimand is two percentage points larger. All results come from one script run on the public IF.data files, with every comparison group, coarsening, winsorisation rule and check as a parameter, and the tables are generated from its output.</w:t>
      </w:r>
    </w:p>
    <w:p>
      <w:pPr>
        <w:pStyle w:val="Heading1"/>
        <w:keepNext/>
        <w:keepLines/>
        <w:numPr>
          <w:ilvl w:val="0"/>
          <w:numId w:val="0"/>
        </w:numPr>
        <w:spacing w:before="240" w:after="120"/>
        <w:ind w:left="0" w:firstLine="0"/>
      </w:pPr>
      <w:r>
        <w:t xml:space="preserve">5 Discussion</w:t>
      </w:r>
    </w:p>
    <w:p>
      <w:pPr>
        <w:jc w:val="both"/>
      </w:pPr>
      <w:r>
        <w:t xml:space="preserve">The surviving results suggest a focused retail lender. A cooperative in the full-methodology population channels a high share of its assets into member credit and runs that operation at low cost. It earns a solid after-tax return on assets on intermediation spreads similar to those of banks, and it sits in a narrow band of the capital distribution. This profile is consistent with a member-service orientation in which capital accumulation is a means to member credit (Fonteyne, 2007).</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two fit together once the source of capital is considered.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is the profile that endowment capital predicts, and the mean gap is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cooperatives are more profitable after tax and less volatile, on margins indistinguishable from those of banks. Part of the profitability gap is the tax exemption of cooperative acts, and before tax the gap is smaller and not established, which narrows the disagreement. The rest may reflect our population, which is restricted to the largest cooperatives and to a common prudential methodology.</w:t>
      </w:r>
    </w:p>
    <w:p>
      <w:pPr>
        <w:jc w:val="both"/>
      </w:pPr>
      <w:r>
        <w:t xml:space="preserve">For supervision, the relevant combination is capital and provisioning taken together. At the thin end of the capital distribution, where prudential concern would attach, cooperatives hold more capital than comparable banks and provision no less, while the finding that they provision more holds only in the middle of the capital distribution. The data also show that cooperatives lack the highly capitalised upper tail that banks exhibit. Several differentials that look large at the mean are differentials in dispersion, so we give the conditional median and the quantile profile as much weight as the conditional mean.</w:t>
      </w:r>
    </w:p>
    <w:p>
      <w:pPr>
        <w:jc w:val="both"/>
      </w:pPr>
      <w:r>
        <w:t xml:space="preserve">Three analyst choices determined whether headline results existed. The first is the comparison group, which as “all non-cooperatives” imports some 160 institutions that neither lend nor raise funds. The second and third are reading IF.data income fields as quarterly flows and estimating the matched comparison by unweighted OLS on the matched sample. Each is a natural reading of the source material. Some of the disagreements in the literature may reflect different comparison groups.</w:t>
      </w:r>
    </w:p>
    <w:p>
      <w:pPr>
        <w:pStyle w:val="Heading2"/>
        <w:keepNext/>
        <w:keepLines/>
        <w:numPr>
          <w:ilvl w:val="0"/>
          <w:numId w:val="0"/>
        </w:numPr>
        <w:spacing w:before="200" w:after="80"/>
        <w:ind w:left="0" w:firstLine="0"/>
      </w:pPr>
      <w:r>
        <w:t xml:space="preserve">5.1 Limitations</w:t>
      </w:r>
    </w:p>
    <w:p>
      <w:pPr>
        <w:jc w:val="both"/>
      </w:pPr>
      <w:r>
        <w:t xml:space="preserve">Six limitations bound the claims. 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Finally, we attempted a within-institution design around the adoption of the full methodology and do not report one. Adoption is driven by growth, growth moves every balance-sheet ratio continuously, and pre-adoption trends run through the adoption date without a break, so the threshold crossing does not identify a regime effect.</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reports the matched estimand, and prints treated cluster counts beside system-level </w:t>
      </w:r>
      <w:r>
        <w:rPr>
          <w:i/>
          <w:iCs/>
        </w:rPr>
        <w:t xml:space="preserve">p</w:t>
      </w:r>
      <w:r>
        <w:t xml:space="preserve">-values. Each step is inexpensive, and in our data each changed at least one conclusion.</w:t>
      </w:r>
    </w:p>
    <w:p>
      <w:pPr>
        <w:jc w:val="both"/>
      </w:pPr>
      <w:r>
        <w:t xml:space="preserve">Our results bear on two margins of proportionality beyond size (Conselho Monetário Nacional, 2017a). Because the evidence is descriptive, we frame both as questions. The first is organisational architecture, since the capital differential is a property of the two large networks. Brazil already treats the cooperative sector as a unit for deposit insurance through the FGCoop. If the backstop hypothesis is right, a proportional framework might also treat an integrated network and its backstop as the unit for parts of the capital and liquidity assessment, as Coelho et al. (2019) report for the French cooperative groups. If the differential reflects the affiliates' size, geography or business mix, that suggestion does not follow.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the return on assets holds after tax, and before tax the gap is smaller and not established. One resting on credit intensity holds against the national bank population but has not been shown within regional markets.</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Abadie, A., Athey, S., Imbens, G. W., &amp; Wooldridge, J. M. (2023). When should you adjust standard errors for clustering? </w:t>
      </w:r>
      <w:r>
        <w:rPr>
          <w:i/>
          <w:iCs/>
          <w:sz w:val="18"/>
          <w:szCs w:val="18"/>
        </w:rPr>
        <w:t xml:space="preserve">Quarterly Journal of Economics</w:t>
      </w:r>
      <w:r>
        <w:rPr>
          <w:sz w:val="18"/>
          <w:szCs w:val="18"/>
        </w:rPr>
        <w:t xml:space="preserve">, </w:t>
      </w:r>
      <w:r>
        <w:rPr>
          <w:i/>
          <w:iCs/>
          <w:sz w:val="18"/>
          <w:szCs w:val="18"/>
        </w:rPr>
        <w:t xml:space="preserve">138</w:t>
      </w:r>
      <w:r>
        <w:rPr>
          <w:sz w:val="18"/>
          <w:szCs w:val="18"/>
        </w:rPr>
        <w:t xml:space="preserve">(1), 1–35. https://doi.org/10.1093/qje/qjac038</w:t>
      </w:r>
    </w:p>
    <w:p>
      <w:pPr>
        <w:pStyle w:val="ReferenciasBibliogrficas"/>
        <w:spacing w:after="60" w:line="240" w:lineRule="auto"/>
        <w:jc w:val="left"/>
      </w:pPr>
      <w:r>
        <w:rPr>
          <w:sz w:val="18"/>
          <w:szCs w:val="18"/>
        </w:rPr>
        <w:t xml:space="preserve">Ayres, I., &amp; Braithwaite, J. (1992). </w:t>
      </w:r>
      <w:r>
        <w:rPr>
          <w:i/>
          <w:iCs/>
          <w:sz w:val="18"/>
          <w:szCs w:val="18"/>
        </w:rPr>
        <w:t xml:space="preserve">Responsive regulation: Transcending the deregulation debate</w:t>
      </w:r>
      <w:r>
        <w:rPr>
          <w:sz w:val="18"/>
          <w:szCs w:val="18"/>
        </w:rPr>
        <w:t xml:space="preserve">. Oxford University Press.</w:t>
      </w:r>
    </w:p>
    <w:p>
      <w:pPr>
        <w:pStyle w:val="ReferenciasBibliogrficas"/>
        <w:spacing w:after="60" w:line="240" w:lineRule="auto"/>
        <w:jc w:val="left"/>
      </w:pPr>
      <w:r>
        <w:rPr>
          <w:sz w:val="18"/>
          <w:szCs w:val="18"/>
        </w:rPr>
        <w:t xml:space="preserve">Baldwin, R., &amp; Black, J. (2008). Really responsive regulation. </w:t>
      </w:r>
      <w:r>
        <w:rPr>
          <w:i/>
          <w:iCs/>
          <w:sz w:val="18"/>
          <w:szCs w:val="18"/>
        </w:rPr>
        <w:t xml:space="preserve">Modern Law Review</w:t>
      </w:r>
      <w:r>
        <w:rPr>
          <w:sz w:val="18"/>
          <w:szCs w:val="18"/>
        </w:rPr>
        <w:t xml:space="preserve">, </w:t>
      </w:r>
      <w:r>
        <w:rPr>
          <w:i/>
          <w:iCs/>
          <w:sz w:val="18"/>
          <w:szCs w:val="18"/>
        </w:rPr>
        <w:t xml:space="preserve">71</w:t>
      </w:r>
      <w:r>
        <w:rPr>
          <w:sz w:val="18"/>
          <w:szCs w:val="18"/>
        </w:rPr>
        <w:t xml:space="preserve">(1), 59–94. https://doi.org/10.1111/j.1468-2230.2008.00681.x</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Banco Central do Brasil. (2026). </w:t>
      </w:r>
      <w:r>
        <w:rPr>
          <w:i/>
          <w:iCs/>
          <w:sz w:val="18"/>
          <w:szCs w:val="18"/>
        </w:rPr>
        <w:t xml:space="preserve">Panorama do Sistema Nacional de Crédito Cooperativo: data-base dezembro de 2025</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Beck, T., Hesse, H., Kick, T., &amp; von Westernhagen, N. (2009). </w:t>
      </w:r>
      <w:r>
        <w:rPr>
          <w:i/>
          <w:iCs/>
          <w:sz w:val="18"/>
          <w:szCs w:val="18"/>
        </w:rPr>
        <w:t xml:space="preserve">Bank ownership and stability: Evidence from Germany</w:t>
      </w:r>
      <w:r>
        <w:rPr>
          <w:sz w:val="18"/>
          <w:szCs w:val="18"/>
        </w:rPr>
        <w:t xml:space="preserve"> [Working paper]. Deutsche Bundesbank.</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https://doi.org/10.1590/S0080-21072011000300005</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Castro Carvalho, A. P., Hohl, S., Raskopf, R., &amp; Ruhnau, S. (2017). </w:t>
      </w:r>
      <w:r>
        <w:rPr>
          <w:i/>
          <w:iCs/>
          <w:sz w:val="18"/>
          <w:szCs w:val="18"/>
        </w:rPr>
        <w:t xml:space="preserve">Proportionality in banking regulation: A cross-country comparison</w:t>
      </w:r>
      <w:r>
        <w:rPr>
          <w:sz w:val="18"/>
          <w:szCs w:val="18"/>
        </w:rPr>
        <w:t xml:space="preserve"> (FSI Insights on Policy Implementation No. 1). Bank for International Settlements, Financial Stability Institute. </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(2013a). </w:t>
      </w:r>
      <w:r>
        <w:rPr>
          <w:i/>
          <w:iCs/>
          <w:sz w:val="18"/>
          <w:szCs w:val="18"/>
        </w:rPr>
        <w:t xml:space="preserve">Resolução nº 4.192, de 1º de março de 2013.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(2013b). </w:t>
      </w:r>
      <w:r>
        <w:rPr>
          <w:i/>
          <w:iCs/>
          <w:sz w:val="18"/>
          <w:szCs w:val="18"/>
        </w:rPr>
        <w:t xml:space="preserve">Resolução nº 4.193, de 1º de março de 2013. Apuração dos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(2015a).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(2015b). </w:t>
      </w:r>
      <w:r>
        <w:rPr>
          <w:i/>
          <w:iCs/>
          <w:sz w:val="18"/>
          <w:szCs w:val="18"/>
        </w:rPr>
        <w:t xml:space="preserve">Resolução nº 4.434, de 5 de agosto de 2015. Constituição, autorização para funcionamento, funcionamento, alterações estatutárias e cancelamento de autorização para funcionamento das cooperativas de crédito</w:t>
      </w:r>
      <w:r>
        <w:rPr>
          <w:sz w:val="18"/>
          <w:szCs w:val="18"/>
        </w:rPr>
        <w:t xml:space="preserve">. Banco Central do Brasil. https://normativos.bcb.gov.br/Lists/Normativos/Attachments/48507/Res_4434_v8_P.pdf</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(2021c). </w:t>
      </w:r>
      <w:r>
        <w:rPr>
          <w:i/>
          <w:iCs/>
          <w:sz w:val="18"/>
          <w:szCs w:val="18"/>
        </w:rPr>
        <w:t xml:space="preserve">Resolução nº 4.966, de 25 de novembro de 2021. Conceitos e critérios contábeis aplicáveis a instrumentos financeiros e provisão para perdas esperadas</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Hansmann, H. (1996). </w:t>
      </w:r>
      <w:r>
        <w:rPr>
          <w:i/>
          <w:iCs/>
          <w:sz w:val="18"/>
          <w:szCs w:val="18"/>
        </w:rPr>
        <w:t xml:space="preserve">The ownership of enterprise</w:t>
      </w:r>
      <w:r>
        <w:rPr>
          <w:sz w:val="18"/>
          <w:szCs w:val="18"/>
        </w:rPr>
        <w:t xml:space="preserve">. The Belknap Press of Harvard University Press.</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segment label is revised semiannually, so five full-methodology cooperative-quarters still carry the S5 label in transition. The sample follows the reported methodology.</w:t>
      </w:r>
    </w:p>
  </w:footnote>
  <w:footnote w:id="2">
    <w:p>
      <w:pPr>
        <w:pStyle w:val="FootnoteText"/>
        <w:spacing w:after="40"/>
        <w:jc w:val="both"/>
      </w:pPr>
      <w:r>
        <w:rPr>
          <w:rStyle w:val="FootnoteReference"/>
        </w:rPr>
        <w:footnoteRef/>
      </w:r>
      <w:r>
        <w:rPr>
          <w:sz w:val="16"/>
          <w:szCs w:val="16"/>
        </w:rPr>
        <w:t xml:space="preserve"> </w:t>
      </w:r>
      <w:r>
        <w:rPr>
          <w:sz w:val="16"/>
          <w:szCs w:val="16"/>
        </w:rPr>
        <w:t xml:space="preserve">Provisioning is observed for nearly all cooperative-quarters and for about five in six bank-quarters. The missing bank-quarters are concentrated among the low-credit institutions the ladder is designed to remove, and in 2023, when coverage falls to about two thirds for banks.</w:t>
      </w:r>
    </w:p>
  </w:footnote>
  <w:footnote w:id="3">
    <w:p>
      <w:pPr>
        <w:pStyle w:val="FootnoteText"/>
        <w:spacing w:after="40"/>
        <w:jc w:val="both"/>
      </w:pPr>
      <w:r>
        <w:rPr>
          <w:rStyle w:val="FootnoteReference"/>
        </w:rPr>
        <w:footnoteRef/>
      </w:r>
      <w:r>
        <w:rPr>
          <w:sz w:val="16"/>
          <w:szCs w:val="16"/>
        </w:rPr>
        <w:t xml:space="preserve"> </w:t>
      </w:r>
      <w:r>
        <w:rPr>
          <w:sz w:val="16"/>
          <w:szCs w:val="16"/>
        </w:rPr>
        <w:t xml:space="preserve">Five cooperatives with simplified quarters only after their first full quarter are excluded from this comparison. With one adopter that also reverts, they are the six reverters of Section 4.6; including them changes no sign.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