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spacing w:after="120"/>
        <w:jc w:val="center"/>
      </w:pPr>
      <w:r>
        <w:rPr>
          <w:i/>
          <w:iCs/>
        </w:rPr>
        <w:t xml:space="preserve">Award category: </w:t>
      </w:r>
      <w:r>
        <w:t xml:space="preserve">Best Young and Emerging Scholar Paper</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the cooperatives and banks under the full methodology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After tax they retain about two percentage points more of their return, of which the tax exemption explains about two fifths; before tax the typical cooperative still earns more, though the mean gap is not established. Second, capital differs modestly in level and markedly in dispersion. The mean gap comes from small banks with capital ratios above fifty percent and roughly halves against deposit-funded banks; in the lower part of the capital distribution, cooperatives hold more capital than banks at the same quantile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a German supervisory proposal reviewed by Berg and Geeroms (2026) would let small, non-complex banks, the savings and cooperative banks among them, opt out of the Basel-based requirements, which the authors support only with conservative calibration and safeguards against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Beck et al. (2009) reach a similar conclusion for German banks under one supervisory regime, where cooperative banks are farther from insolvency than both privately owned and savings banks. Ayadi et al. (2010), Iannotta et al. (2007) and Groeneveld (2020) document the performance, risk and persistent distinctiveness of European cooperative banks, and Becchetti et al. (2016) and Ferri et al. (2014) show that ownership shapes lending.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the credit unions in segment S4 to PEARLS indicators and find net lending positively associated with profitability and equity growth; they propose a comparison with the banks of the same segment, which this paper makes. Cavinato and Capitani (2023) show that the social efficiency of rural credit cooperatives differs across regions. None compares cooperatives with banks under a common prudential methodology, the setting used here.</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the size of the smallest system split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tiers are assigned on the conditional means alone, and when the quantile profile shows one tail driving the mean, as for capital, cost-to-income and the pre-tax return, the magnitude is read at the median while the tier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jc w:val="both"/>
      </w:pPr>
      <w:r>
        <w:t xml:space="preserve">Three statements summarise what follows.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banks at the same quantile at the thin end of the distribution, where supervisors look. Third, two often-cited differences, lower provisioning and thinner margins, vanish once cooperatives are compared with banks alone.</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turns negative only in the top decile (Table 3), where a high-earning bank tail pulls the mean towards zero. The typical cooperative thus earns more than a comparable bank before tax, while the mean gap is not established.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and before tax both measures keep their sign and significance, with the median volatility gap nearly doubling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no tercile shows cooperatives provisioning less.</w:t>
      </w:r>
    </w:p>
    <w:p>
      <w:pPr>
        <w:jc w:val="both"/>
      </w:pPr>
      <w:r>
        <w:t xml:space="preserve">The intermediation margin behaves in the same way: large and highly significant against the broad group, small and insignificant against banks, positive and significant against structural banks, and positive at the conditional median, so its sign depends on the comparison group and on the statistic and we keep it as a null. The funding ratio is significant in one specification only and is left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one of which belongs to Cresol, so the split describes those two networks; a test of network affiliation as such is beyond it. Cooperatives in both networks hold less regulatory capital than comparable banks, significant under the bootstrap in each. The six independents contribute five treated clusters, since one lacks the outcome,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dropping the sector's two cooperative-owned banks and dropping the six cooperatives that revert to the simplified methodology leave every surviving sign unchanged.</w:t>
      </w:r>
    </w:p>
    <w:p>
      <w:pPr>
        <w:pStyle w:val="Heading1"/>
        <w:keepNext/>
        <w:keepLines/>
        <w:numPr>
          <w:ilvl w:val="0"/>
          <w:numId w:val="0"/>
        </w:numPr>
        <w:spacing w:before="240" w:after="120"/>
        <w:ind w:left="0" w:firstLine="0"/>
      </w:pPr>
      <w:r>
        <w:t xml:space="preserve">5 Discussion</w:t>
      </w:r>
    </w:p>
    <w:p>
      <w:pPr>
        <w:jc w:val="both"/>
      </w:pPr>
      <w:r>
        <w:t xml:space="preserve">The surviving results describe a focused retail lender, consistent with a member-service orientation in which capital accumulation is a means to member credit (Fonteyne, 2007). For supervisors, the findings suggest a benchmark calibrated on lending institutions and a reading of the whole distribution as well as the mean.</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the panel is unbalanced, an institution that is incorporated or closes leaves it at its last reported quarter, and institutions with fewer than eight quarters are absent from that subsample.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the social efficiency of rural cooperatives differs across regions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cooperatives and banks under the full methodology.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that does not differ at the mean.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https://doi.org/10.64153/SSLG8909</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https://www.scielo.br/j/ram/a/gv8jtmTShyVDhNzwcKRgDzj/</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