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while the mean gap is significant in only two of four specifications, pulled towards zero by a high-earning bank upper tail, and is therefore null by the classification rule. After tax cooperatives retain about two percentage points more, a stable result; the pre-tax gap under controls is about three fifths of the after-tax one, so the exemption of cooperative acts from income tax and social contribution accounts for about two fifths of it.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