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use this setting to ask whether the cooperative form retains distinct balance-sheet characteristics. Using a quarterly panel of every full-methodology institution from 2017 to 2024, 130 singular credit cooperatives and 144 banks, we relate eleven balance-sheet and performance measures to a cooperative dummy. The estimates control for size and time and are repeated on a matched sample and across five comparison groups. Three results emerge. First, cooperatives of comparable size allocate more of their assets to credit than banks nationally, operate at lower cost and show steadier returns; before tax the typical cooperative earns more than a comparable bank, although the mean gap does not hold across specifications, and after tax cooperatives retain about two percentage points more, of which the tax exemption of cooperative acts accounts for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If the prudential benchmark reflects an average institution that barely lends, it measures cooperatives against a standard drawn from a different kind of institution. Whether it does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Basel III admits the member shares of mutuals and cooperatives as common equity under criteria adapted to their legal form (Basel Committee on Banking Supervision, 2011).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Because the unit is the institution, these two outcomes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The minimum provision is a step function of the AA to H rating assigned to each operation, so the ratio reflects how the institution classifies its book and is a weak proxy for realised delinquency.</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We read the after-tax row as what a cooperative retains, the return that accumulates as capital, and the pre-tax row as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The tail is thus concentrated among small standalone banks with little risk-weighted exposure, and against deposit-taking banks the capital difference consists of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Supervisory concern attaches to capital, so we also split the sample into terciles of the Basel ratio. No tercile shows cooperatives provisioning less: on the unconditional ratio the differential is positive and significant only in the middle tercile, where most cooperative quarters sit, and on the ratio residualised on size and quarter no tercile differs.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It is large and highly significant against the broad group, for the same reason. Against banks it is small and insignificant, and against structural banks it turns positive and significant. Its sign depends on the comparison group, so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One caution applies. With an effective control sample of eighteen, the within-market null may reflect low power as much as the parameter itself. Return volatility survives the within-region comparison, while the z-score, which shares its denominator,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explanation, since a cooperative with centralised liquidity and consolidated risk management behind it may run a thinner individual cushion.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In addition, it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taken together. At the thin end of the capital distribution, where prudential concern would attach, cooperatives hold more capital than comparable banks and provision no less. Several differentials that look large at the mean are differentials in dispersion, so we give the conditional median and the quantile profile as much weight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is earned before tax, on an intermediation margin that matches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