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spacing w:after="120"/>
        <w:jc w:val="center"/>
      </w:pPr>
      <w:r>
        <w:rPr>
          <w:i/>
          <w:iCs/>
        </w:rPr>
        <w:t xml:space="preserve">Award category: </w:t>
      </w:r>
      <w:r>
        <w:t xml:space="preserve">Best Young and Emerging Scholar Paper</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After tax they retain about two percentage points more of their return, of which the tax exemption explains about two fifths; before tax the typical cooperative still earns more, though the mean gap is not established. Second, capital differs modestly in level and markedly in dispersion. The mean gap comes from small banks with capital ratios above fifty percent and roughly halves against deposit-funded banks; in the lower part of the capital distribution, cooperatives hold more capital than banks at the same quantile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a German supervisory proposal reviewed by Berg and Geeroms (2026) would let small, non-complex banks, the savings and cooperative banks among them, opt out of the Basel-based requirements, which the authors support only with conservative calibration and safeguards against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Beck et al. (2009) reach a similar conclusion for German banks under one supervisory regime, where cooperative banks are farther from insolvency than both privately owned and savings banks. Ayadi et al. (2010), Iannotta et al. (2007) and Groeneveld (2020) document the performance, risk and persistent distinctiveness of European cooperative banks, and Becchetti et al. (2016) and Ferri et al. (2014) show that ownership shapes lending.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the credit unions in segment S4 to PEARLS indicators and find net lending positively associated with profitability and equity growth; they propose a comparison with the banks of the same segment, which this paper makes. Cavinato and Capitani (2023) show that the social efficiency of rural credit cooperatives differs across regions. None compares cooperatives with banks under a common prudential methodology, the setting used here.</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the size of the smallest system split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tiers are assigned on the conditional means alone, and when the quantile profile shows one tail driving the mean, as for capital, cost-to-income and the pre-tax return, the magnitude is read at the median while the tier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jc w:val="both"/>
      </w:pPr>
      <w:r>
        <w:t xml:space="preserve">Three statements summarise what follows.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banks at the same quantile at the thin end of the distribution, where supervisors look. Third, two often-cited differences, lower provisioning and thinner margins, vanish once cooperatives are compared with banks alone.</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turns negative only in the top decile (Table 3), where a high-earning bank tail pulls the mean towards zero. The typical cooperative thus earns more than a comparable bank before tax, on an indistinguishable intermediation margin, while the mean gap is not established.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and before tax both measures keep their sign and significance, with the median volatility gap nearly doubling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no tercile shows cooperatives provisioning less.</w:t>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specification only and is left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one of which belongs to Cresol, so the split describes those two networks; a test of network affiliation as such is beyond it. Cooperatives in both networks hold less regulatory capital than comparable banks, significant under the bootstrap in each. The six independents contribute five treated clusters, since one lacks the outcome,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dropping the sector's two cooperative-owned banks and dropping the six cooperatives that revert to the simplified methodology leave every surviving sign unchanged.</w:t>
      </w:r>
    </w:p>
    <w:p>
      <w:pPr>
        <w:pStyle w:val="Heading1"/>
        <w:keepNext/>
        <w:keepLines/>
        <w:numPr>
          <w:ilvl w:val="0"/>
          <w:numId w:val="0"/>
        </w:numPr>
        <w:spacing w:before="240" w:after="120"/>
        <w:ind w:left="0" w:firstLine="0"/>
      </w:pPr>
      <w:r>
        <w:t xml:space="preserve">5 Discussion</w:t>
      </w:r>
    </w:p>
    <w:p>
      <w:pPr>
        <w:jc w:val="both"/>
      </w:pPr>
      <w:r>
        <w:t xml:space="preserve">The surviving results describe a focused retail lender, consistent with a member-service orientation in which capital accumulation is a means to member credit (Fonteyne, 2007). For supervisors, the findings suggest a benchmark calibrated on lending institutions and a reading of the whole distribution as well as the mean.</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the panel is unbalanced, an institution that is incorporated or closes leaves it at its last reported quarter, and institutions with fewer than eight quarters are absent from that subsample.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the social efficiency of rural cooperatives differs across regions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https://doi.org/10.64153/SSLG8909</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https://doi.org/10.1590/1678-6971/eRAMR230057.en</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