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b/>
          <w:bCs/>
          <w:sz w:val="24"/>
          <w:szCs w:val="24"/>
        </w:rPr>
        <w:t xml:space="preserve">Institutional Profiles Under a Common Prudential Framework: Evidence from Brazilian Credit Cooperatives and Banks</w:t>
      </w:r>
    </w:p>
    <w:p>
      <w:pPr>
        <w:pStyle w:val="Autor1"/>
        <w:jc w:val="center"/>
      </w:pPr>
      <w:r>
        <w:t xml:space="preserve">Arthur Gomes Nery</w:t>
      </w:r>
      <w:r>
        <w:rPr>
          <w:vertAlign w:val="superscript"/>
        </w:rPr>
        <w:t xml:space="preserve">a</w:t>
      </w:r>
      <w:r>
        <w:t xml:space="preserve">, </w:t>
      </w:r>
      <w:r>
        <w:t xml:space="preserve">Thiago de Oliveira Victorino</w:t>
      </w:r>
      <w:r>
        <w:rPr>
          <w:vertAlign w:val="superscript"/>
        </w:rPr>
        <w:t xml:space="preserve">b</w:t>
      </w:r>
      <w:r>
        <w:t xml:space="preserve"> and </w:t>
      </w:r>
      <w:r>
        <w:t xml:space="preserve">Rodrigo Lima Rangel</w:t>
      </w:r>
      <w:r>
        <w:rPr>
          <w:vertAlign w:val="superscript"/>
        </w:rPr>
        <w:t xml:space="preserve">c</w:t>
      </w:r>
    </w:p>
    <w:p>
      <w:pPr>
        <w:pBdr>
          <w:bottom w:val="single" w:sz="12" w:space="1" w:color="auto"/>
        </w:pBdr>
        <w:spacing w:after="240"/>
      </w:pPr>
      <w:r>
        <w:rPr>
          <w:rStyle w:val="Autor2"/>
          <w:vertAlign w:val="superscript"/>
        </w:rPr>
        <w:t xml:space="preserve">a</w:t>
      </w:r>
      <w:r>
        <w:rPr>
          <w:rStyle w:val="Autor2"/>
        </w:rPr>
        <w:t xml:space="preserve">Organization of Brazilian Cooperatives (OCB System), Brasília, Brazil, ORCID 0000-0001-6844-807X, arthur.nery@ocb.coop.br</w:t>
      </w:r>
      <w:r>
        <w:rPr>
          <w:rStyle w:val="Autor2"/>
        </w:rPr>
        <w:t xml:space="preserve">; </w:t>
      </w:r>
      <w:r>
        <w:rPr>
          <w:rStyle w:val="Autor2"/>
          <w:vertAlign w:val="superscript"/>
        </w:rPr>
        <w:t xml:space="preserve">b</w:t>
      </w:r>
      <w:r>
        <w:rPr>
          <w:rStyle w:val="Autor2"/>
        </w:rPr>
        <w:t xml:space="preserve">Organization of Brazilian Cooperatives (OCB System), Brasília, Brazil, ORCID 0000-0003-0110-762X, thiago.victorino@sescoop.coop.br</w:t>
      </w:r>
      <w:r>
        <w:rPr>
          <w:rStyle w:val="Autor2"/>
        </w:rPr>
        <w:t xml:space="preserve">; and </w:t>
      </w:r>
      <w:r>
        <w:rPr>
          <w:rStyle w:val="Autor2"/>
          <w:vertAlign w:val="superscript"/>
        </w:rPr>
        <w:t xml:space="preserve">c</w:t>
      </w:r>
      <w:r>
        <w:rPr>
          <w:rStyle w:val="Autor2"/>
        </w:rPr>
        <w:t xml:space="preserve">Organization of Brazilian Cooperatives (OCB System), Brasília, Brazil, rodrigo.rangel@sescoop.coop.br</w:t>
      </w:r>
    </w:p>
    <w:p>
      <w:pPr>
        <w:pStyle w:val="Abstract"/>
        <w:keepNext/>
        <w:keepLines/>
        <w:ind w:left="0" w:right="284"/>
      </w:pPr>
      <w:r>
        <w:rPr>
          <w:b/>
          <w:bCs/>
          <w:i w:val="0"/>
          <w:iCs w:val="0"/>
          <w:sz w:val="22"/>
          <w:szCs w:val="22"/>
        </w:rPr>
        <w:t xml:space="preserve">Abstract</w:t>
      </w:r>
    </w:p>
    <w:p>
      <w:pPr>
        <w:jc w:val="both"/>
      </w:pPr>
      <w:r>
        <w:rPr>
          <w:b/>
          <w:bCs/>
        </w:rPr>
        <w:t xml:space="preserve">Background.</w:t>
      </w:r>
      <w:r>
        <w:t xml:space="preserve"> Prudential regulation has converged on the Basel template, and national supervisors apply it in proportion to size, complexity and business model. Brazil sorts authorised institutions into five segments (Conselho Monetário Nacional, 2017). Segments 1 to 4 apply the full methodology, while small institutions may opt for a simplified method of computing minimum capital. A credit cooperative that grows past the threshold, or declines the simplified option, therefore computes capital, risk weights and provisions under the same rules as a commercial bank. International surveys of proportionality record no criterion based on organisational form (Basel Committee on Banking Supervision, 2019), and where supervisors adapt the framework to financial cooperatives the adaptation concerns member shares and network arrangements (Coelho et al., 2019). Cooperative capital is an endowment of retained earnings accumulated across member generations (Fonteyne, 2007), and the member's claim is a claim on the use of the institution. The cross-country evidence finds cooperative banks more stable, less profitable and less capitalised than commercial banks (Hesse &amp; Čihák, 2007; McKillop et al., 2020). None of this evidence compares the two forms under a common prudential methodology, and comparison groups defined by legal category can include institutions with little economic resemblance to a bank.</w:t>
      </w:r>
    </w:p>
    <w:p>
      <w:pPr>
        <w:jc w:val="both"/>
      </w:pPr>
      <w:r>
        <w:rPr>
          <w:b/>
          <w:bCs/>
        </w:rPr>
        <w:t xml:space="preserve">Objectives.</w:t>
      </w:r>
      <w:r>
        <w:t xml:space="preserve"> The paper asks two questions. First, whether organisational form leaves a measurable imprint on capital, performance, stability and balance-sheet structure once the prudential methodology is common to both forms. Second, how far the answer depends on choices the analyst makes: which institutions form the comparison group, how cumulative accounting flows are converted into rates, and how a matched estimator is weighted.</w:t>
      </w:r>
    </w:p>
    <w:p>
      <w:pPr>
        <w:jc w:val="both"/>
      </w:pPr>
      <w:r>
        <w:rPr>
          <w:b/>
          <w:bCs/>
        </w:rPr>
        <w:t xml:space="preserve">Methods.</w:t>
      </w:r>
      <w:r>
        <w:t xml:space="preserve"> We build an institution-quarter panel from IF.data, the public repository of the Central Bank of Brazil, covering every full-methodology institution from the first quarter of 2017 to the last quarter of 2024: 130 singular credit cooperatives and 144 banks, 7,234 institution-quarters. Institutions are classified on the regulator's consolidation type, which makes cooperative status time-invariant, and central cooperatives are excluded as wholesale entities. Nine quarterly outcomes cover the Basel capital ratio, leverage, return on assets after and before tax, the intermediation margin, cost-to-income, credit intensity, the provisioning ratio and the funding ratio. Two stability outcomes, return volatility and the z-score, are measured at the institution level. Two features of the source data are corrected: income fields accumulate within the semester and are de-cumulated and annualised, and the intermediation result is reported net of loan-loss provisions and is computed gross. Each outcome is related to a cooperative dummy under four specifications: the unconditional difference, controls for log assets and quarter, coarsened exact matching on size with the weighted estimand reported, and the region of common support. The comparison side is a reported parameter with five rungs: all non-cooperatives, banks, banks within macro-region, commercial banks and deposit-funded banks. Standard errors are clustered by institution and confirmed by a restricted wild cluster bootstrap (Cameron et al., 2008; MacKinnon &amp; Webb, 2017). Conditional medians and quantile regressions are reported beside the conditional means, and an explicit rule classifies each outcome as null, stable or stable in sign.</w:t>
      </w:r>
    </w:p>
    <w:p>
      <w:pPr>
        <w:jc w:val="both"/>
      </w:pPr>
      <w:r>
        <w:rPr>
          <w:b/>
          <w:bCs/>
        </w:rPr>
        <w:t xml:space="preserve">Results.</w:t>
      </w:r>
      <w:r>
        <w:t xml:space="preserve"> Three results emerge. First, at comparable size cooperatives allocate nearly a fifth more of total assets to credit than banks nationally, operate at lower cost at the median, and show lower return volatility and a higher z-score. Before tax the typical cooperative earns more than a comparable bank, on an intermediation margin indistinguishable from the banks'. The conditional median differential is 1.4 percentage points and excludes zero; the mean gap is significant in only two of four specifications, pulled towards zero by a high-earning bank upper tail, and is therefore null by the rule. After tax cooperatives retain about two percentage points more, a stable result. The pre-tax gap under controls is three fifths of the after-tax one, so the tax exemption of cooperative acts accounts for about two fifths. The other differentials hold on every national definition of a bank. Credit intensity cannot be told apart from zero within macro-region, where the estimates are imprecise. Second, capital differs modestly in level and markedly in dispersion. The size-controlled mean gap is large and negative, yet the conditional mean is about seven times the conditional median, and the quantile coefficient is positive at the bottom of the capital distribution and negative at the top, crossing zero near the fortieth percentile. The mean gap comes largely from a bank upper tail. Fourteen percent of bank-quarters exceed a Basel ratio of 50 percent, against one percent of cooperative-quarters, and the tail sits among small standalone banks that barely intermediate. Restricting the comparison to deposit-funded banks roughly halves the gap, and the residual standard deviation of the capital ratio among cooperatives is about a third of the bank figure. Third, two differences often reported disappear once the comparison group is restricted to banks. Against all non-cooperatives, cooperatives appear to provision less and to earn narrower margins; against banks both coefficients are close to zero. The broad-group provisioning gap comes from non-banking lenders whose provisioning ratios are nearly three times those of banks and cooperatives. At the conditional median cooperatives provision more, and no tercile of the capital distribution shows them provisioning less. Every surviving result keeps its sign under four winsorisation rules, without the largest banks, before and after the 2022 revision of the capital rules, and under weighted and unweighted matching. Selection into the full methodology biases the credit and profitability estimates towards zero.</w:t>
      </w:r>
    </w:p>
    <w:p>
      <w:pPr>
        <w:jc w:val="both"/>
      </w:pPr>
      <w:r>
        <w:rPr>
          <w:b/>
          <w:bCs/>
        </w:rPr>
        <w:t xml:space="preserve">Discussion.</w:t>
      </w:r>
      <w:r>
        <w:t xml:space="preserve"> The surviving results describe a focused retail lender that channels a high share of its assets into member credit, runs that operation at low cost, earns a somewhat higher operating return than banks at the median on similar spreads, retains more of it after tax and sits in a narrow band of the capital distribution. The results agree with Hesse and Čihák (2007) on lower capitalisation and lower return volatility and differ on profitability; the fiscal treatment of cooperative acts accounts for about two fifths of the after-tax difference, and the pre-tax mean gap is not established, so the disagreement is narrower than the after-tax figures suggest. At the thin end of the capital distribution, where supervisory concern attaches, cooperatives hold more capital than comparable banks and provision no less. Several differentials that look large at the mean are differentials in dispersion. Three analyst choices determined whether headline results existed: the comparison group, the reading of cumulative income fields as quarterly flows, and unweighted estimation on the matched sample. The estimates are conditional correlations on the largest cooperatives in the country, the provisioning ratio is an accounting variable, and the network backstop hypothesis needs consolidated data that IF.data does not carry.</w:t>
      </w:r>
    </w:p>
    <w:p>
      <w:pPr>
        <w:jc w:val="both"/>
      </w:pPr>
      <w:r>
        <w:rPr>
          <w:b/>
          <w:bCs/>
        </w:rPr>
        <w:t xml:space="preserve">Contributions and Implications.</w:t>
      </w:r>
      <w:r>
        <w:t xml:space="preserve"> The paper offers the first profile of cooperative behaviour under full Basel-style regulation in a large emerging market, on the full population of full-methodology institutions, together with two nulls that correct claims the same data appear to support under a looser comparison group. Methodologically, it sets out a protocol that defines peers on the regulator's own categories, reports a ladder of comparison groups, separates sector-wide from within-market differences and reports the matched estimand. For proportionality, the results raise two margins beyond size: the treatment of integrated networks and their backstops, and the calibration of a benchmark against an average institution whose upper region cooperatives do not inhabit. A lighter requirement does not follow automatically, since the systemic externality and the guarantee still apply. For the cooperative movement, a case resting on cost and return stability holds against every definition of a bank we tried, and one resting on profitability holds for the retained return and, for the operating return, at the median rather than at the mean. A case resting on more conservative provisioning does not.</w:t>
      </w:r>
    </w:p>
    <w:p>
      <w:pPr>
        <w:pStyle w:val="Abstract"/>
        <w:keepNext/>
        <w:keepLines/>
        <w:ind w:left="0" w:right="284"/>
      </w:pPr>
      <w:r>
        <w:rPr>
          <w:b/>
          <w:bCs/>
          <w:i w:val="0"/>
          <w:iCs w:val="0"/>
          <w:sz w:val="22"/>
          <w:szCs w:val="22"/>
        </w:rPr>
        <w:t xml:space="preserve">Keywords</w:t>
      </w:r>
    </w:p>
    <w:p>
      <w:pPr>
        <w:pStyle w:val="Abstract"/>
        <w:ind w:left="0" w:right="284"/>
      </w:pPr>
      <w:r>
        <w:rPr>
          <w:b/>
          <w:bCs/>
          <w:i w:val="0"/>
          <w:iCs w:val="0"/>
        </w:rPr>
        <w:t xml:space="preserve">credit cooperatives; prudential regulation; Basel; proportionality; Brazil</w:t>
      </w:r>
    </w:p>
    <w:p>
      <w:pPr>
        <w:pStyle w:val="Abstract"/>
        <w:keepNext/>
        <w:keepLines/>
        <w:ind w:left="0" w:right="284"/>
      </w:pPr>
      <w:r>
        <w:rPr>
          <w:b/>
          <w:bCs/>
          <w:i w:val="0"/>
          <w:iCs w:val="0"/>
          <w:sz w:val="22"/>
          <w:szCs w:val="22"/>
        </w:rPr>
        <w:t xml:space="preserve">Key References</w:t>
      </w:r>
    </w:p>
    <w:p>
      <w:pPr>
        <w:pStyle w:val="ReferenciasBibliogrficas"/>
        <w:spacing w:after="60" w:line="240" w:lineRule="auto"/>
        <w:jc w:val="left"/>
      </w:pPr>
      <w:r>
        <w:rPr>
          <w:sz w:val="18"/>
          <w:szCs w:val="18"/>
        </w:rPr>
        <w:t xml:space="preserve">Basel Committee on Banking Supervision. (2019). </w:t>
      </w:r>
      <w:r>
        <w:rPr>
          <w:i/>
          <w:iCs/>
          <w:sz w:val="18"/>
          <w:szCs w:val="18"/>
        </w:rPr>
        <w:t xml:space="preserve">Proportionality in bank regulation and supervision: A survey on current practices</w:t>
      </w:r>
      <w:r>
        <w:rPr>
          <w:sz w:val="18"/>
          <w:szCs w:val="18"/>
        </w:rPr>
        <w:t xml:space="preserve">. Bank for International Settlements. </w:t>
      </w:r>
    </w:p>
    <w:p>
      <w:pPr>
        <w:pStyle w:val="ReferenciasBibliogrficas"/>
        <w:spacing w:after="60" w:line="240" w:lineRule="auto"/>
        <w:jc w:val="left"/>
      </w:pPr>
      <w:r>
        <w:rPr>
          <w:sz w:val="18"/>
          <w:szCs w:val="18"/>
        </w:rPr>
        <w:t xml:space="preserve">Cameron, A. C., Gelbach, J. B., &amp; Miller, D. L. (2008). Bootstrap-based improvements for inference with clustered errors. </w:t>
      </w:r>
      <w:r>
        <w:rPr>
          <w:i/>
          <w:iCs/>
          <w:sz w:val="18"/>
          <w:szCs w:val="18"/>
        </w:rPr>
        <w:t xml:space="preserve">Review of Economics and Statistics</w:t>
      </w:r>
      <w:r>
        <w:rPr>
          <w:sz w:val="18"/>
          <w:szCs w:val="18"/>
        </w:rPr>
        <w:t xml:space="preserve">, </w:t>
      </w:r>
      <w:r>
        <w:rPr>
          <w:i/>
          <w:iCs/>
          <w:sz w:val="18"/>
          <w:szCs w:val="18"/>
        </w:rPr>
        <w:t xml:space="preserve">90</w:t>
      </w:r>
      <w:r>
        <w:rPr>
          <w:sz w:val="18"/>
          <w:szCs w:val="18"/>
        </w:rPr>
        <w:t xml:space="preserve">(3), 414–427. https://doi.org/10.1162/rest.90.3.414</w:t>
      </w:r>
    </w:p>
    <w:p>
      <w:pPr>
        <w:pStyle w:val="ReferenciasBibliogrficas"/>
        <w:spacing w:after="60" w:line="240" w:lineRule="auto"/>
        <w:jc w:val="left"/>
      </w:pPr>
      <w:r>
        <w:rPr>
          <w:sz w:val="18"/>
          <w:szCs w:val="18"/>
        </w:rPr>
        <w:t xml:space="preserve">Coelho, R., Mazzillo, J. A., Svoronos, J.-P., &amp; Yu, T. (2019). </w:t>
      </w:r>
      <w:r>
        <w:rPr>
          <w:i/>
          <w:iCs/>
          <w:sz w:val="18"/>
          <w:szCs w:val="18"/>
        </w:rPr>
        <w:t xml:space="preserve">Regulation and supervision of financial cooperatives</w:t>
      </w:r>
      <w:r>
        <w:rPr>
          <w:sz w:val="18"/>
          <w:szCs w:val="18"/>
        </w:rPr>
        <w:t xml:space="preserve"> (FSI Insights on Policy Implementation No. 15). Bank for International Settlements, Financial Stability Institute. </w:t>
      </w:r>
    </w:p>
    <w:p>
      <w:pPr>
        <w:pStyle w:val="ReferenciasBibliogrficas"/>
        <w:spacing w:after="60" w:line="240" w:lineRule="auto"/>
        <w:jc w:val="left"/>
      </w:pPr>
      <w:r>
        <w:rPr>
          <w:sz w:val="18"/>
          <w:szCs w:val="18"/>
        </w:rPr>
        <w:t xml:space="preserve">Conselho Monetário Nacional. (2017). </w:t>
      </w:r>
      <w:r>
        <w:rPr>
          <w:i/>
          <w:iCs/>
          <w:sz w:val="18"/>
          <w:szCs w:val="18"/>
        </w:rPr>
        <w:t xml:space="preserve">Resolução nº 4.553, de 30 de janeiro de 2017. Segmentação do conjunto das instituições financeiras para fins de aplicação proporcional da regulação prudencial</w:t>
      </w:r>
      <w:r>
        <w:rPr>
          <w:sz w:val="18"/>
          <w:szCs w:val="18"/>
        </w:rPr>
        <w:t xml:space="preserve">. Banco Central do Brasil. https://normativos.bcb.gov.br/Lists/Normativos/Attachments/50335/Res_4553_v2_L.pdf</w:t>
      </w:r>
    </w:p>
    <w:p>
      <w:pPr>
        <w:pStyle w:val="ReferenciasBibliogrficas"/>
        <w:spacing w:after="60" w:line="240" w:lineRule="auto"/>
        <w:jc w:val="left"/>
      </w:pPr>
      <w:r>
        <w:rPr>
          <w:sz w:val="18"/>
          <w:szCs w:val="18"/>
        </w:rPr>
        <w:t xml:space="preserve">Fonteyne, W. (2007). </w:t>
      </w:r>
      <w:r>
        <w:rPr>
          <w:i/>
          <w:iCs/>
          <w:sz w:val="18"/>
          <w:szCs w:val="18"/>
        </w:rPr>
        <w:t xml:space="preserve">Cooperative banks in Europe: Policy issues</w:t>
      </w:r>
      <w:r>
        <w:rPr>
          <w:sz w:val="18"/>
          <w:szCs w:val="18"/>
        </w:rPr>
        <w:t xml:space="preserve"> (IMF Working Paper No. WP/07/159). International Monetary Fund. https://doi.org/10.5089/9781451867237.001</w:t>
      </w:r>
    </w:p>
    <w:p>
      <w:pPr>
        <w:pStyle w:val="ReferenciasBibliogrficas"/>
        <w:spacing w:after="60" w:line="240" w:lineRule="auto"/>
        <w:jc w:val="left"/>
      </w:pPr>
      <w:r>
        <w:rPr>
          <w:sz w:val="18"/>
          <w:szCs w:val="18"/>
        </w:rPr>
        <w:t xml:space="preserve">Hesse, H., &amp; Čihák, M. (2007). </w:t>
      </w:r>
      <w:r>
        <w:rPr>
          <w:i/>
          <w:iCs/>
          <w:sz w:val="18"/>
          <w:szCs w:val="18"/>
        </w:rPr>
        <w:t xml:space="preserve">Cooperative banks and financial stability</w:t>
      </w:r>
      <w:r>
        <w:rPr>
          <w:sz w:val="18"/>
          <w:szCs w:val="18"/>
        </w:rPr>
        <w:t xml:space="preserve"> (IMF Working Paper No. WP/07/2). International Monetary Fund. https://doi.org/10.5089/9781451865660.001</w:t>
      </w:r>
    </w:p>
    <w:p>
      <w:pPr>
        <w:pStyle w:val="ReferenciasBibliogrficas"/>
        <w:spacing w:after="60" w:line="240" w:lineRule="auto"/>
        <w:jc w:val="left"/>
      </w:pPr>
      <w:r>
        <w:rPr>
          <w:sz w:val="18"/>
          <w:szCs w:val="18"/>
        </w:rPr>
        <w:t xml:space="preserve">MacKinnon, J. G., &amp; Webb, M. D. (2017). Wild bootstrap inference for wildly different cluster sizes. </w:t>
      </w:r>
      <w:r>
        <w:rPr>
          <w:i/>
          <w:iCs/>
          <w:sz w:val="18"/>
          <w:szCs w:val="18"/>
        </w:rPr>
        <w:t xml:space="preserve">Journal of Applied Econometrics</w:t>
      </w:r>
      <w:r>
        <w:rPr>
          <w:sz w:val="18"/>
          <w:szCs w:val="18"/>
        </w:rPr>
        <w:t xml:space="preserve">, </w:t>
      </w:r>
      <w:r>
        <w:rPr>
          <w:i/>
          <w:iCs/>
          <w:sz w:val="18"/>
          <w:szCs w:val="18"/>
        </w:rPr>
        <w:t xml:space="preserve">32</w:t>
      </w:r>
      <w:r>
        <w:rPr>
          <w:sz w:val="18"/>
          <w:szCs w:val="18"/>
        </w:rPr>
        <w:t xml:space="preserve">(2), 233–254. https://doi.org/10.1002/jae.2508</w:t>
      </w:r>
    </w:p>
    <w:p>
      <w:pPr>
        <w:pStyle w:val="ReferenciasBibliogrficas"/>
        <w:spacing w:after="60" w:line="240" w:lineRule="auto"/>
        <w:jc w:val="left"/>
      </w:pPr>
      <w:r>
        <w:rPr>
          <w:sz w:val="18"/>
          <w:szCs w:val="18"/>
        </w:rPr>
        <w:t xml:space="preserve">McKillop, D., French, D., Quinn, B., Sobiech, A. L., &amp; Wilson, J. O. S. (2020). Cooperative financial institutions: A review of the literature. </w:t>
      </w:r>
      <w:r>
        <w:rPr>
          <w:i/>
          <w:iCs/>
          <w:sz w:val="18"/>
          <w:szCs w:val="18"/>
        </w:rPr>
        <w:t xml:space="preserve">International Review of Financial Analysis</w:t>
      </w:r>
      <w:r>
        <w:rPr>
          <w:sz w:val="18"/>
          <w:szCs w:val="18"/>
        </w:rPr>
        <w:t xml:space="preserve">, </w:t>
      </w:r>
      <w:r>
        <w:rPr>
          <w:i/>
          <w:iCs/>
          <w:sz w:val="18"/>
          <w:szCs w:val="18"/>
        </w:rPr>
        <w:t xml:space="preserve">71</w:t>
      </w:r>
      <w:r>
        <w:rPr>
          <w:sz w:val="18"/>
          <w:szCs w:val="18"/>
        </w:rPr>
        <w:t xml:space="preserve">, 101520. https://doi.org/10.1016/j.irfa.2020.101520</w:t>
      </w:r>
    </w:p>
    <w:sectPr w:rsidR="003C184F" w:rsidRPr="009578E3" w:rsidSect="006F0334">
      <w:headerReference w:type="even" r:id="rId14"/>
      <w:headerReference w:type="default" r:id="rId15"/>
      <w:headerReference w:type="first" r:id="rId16"/>
      <w:footerReference w:type="first" r:id="rId17"/>
      <w:pgSz w:w="9639" w:h="13608" w:code="9"/>
      <w:pgMar w:top="1361" w:right="907" w:bottom="1418" w:left="1134" w:header="737" w:footer="87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0344" w14:textId="77777777" w:rsidR="00EB268A" w:rsidRPr="0060138F" w:rsidRDefault="00EB268A" w:rsidP="00F272E1">
      <w:r w:rsidRPr="0060138F">
        <w:separator/>
      </w:r>
    </w:p>
  </w:endnote>
  <w:endnote w:type="continuationSeparator" w:id="0">
    <w:p w14:paraId="28F23C76" w14:textId="77777777" w:rsidR="00EB268A" w:rsidRPr="0060138F" w:rsidRDefault="00EB268A" w:rsidP="00F272E1">
      <w:r w:rsidRPr="006013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B4" w14:textId="0D8A37A3" w:rsidR="009927E9" w:rsidRPr="0060138F" w:rsidRDefault="009927E9" w:rsidP="00A144E1">
    <w:pPr>
      <w:pStyle w:val="Footer"/>
      <w:tabs>
        <w:tab w:val="clear" w:pos="4252"/>
        <w:tab w:val="clear" w:pos="8504"/>
        <w:tab w:val="right" w:pos="7371"/>
      </w:tabs>
      <w:spacing w:after="0"/>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C4D7" w14:textId="77777777" w:rsidR="00EB268A" w:rsidRPr="0060138F" w:rsidRDefault="00EB268A" w:rsidP="00C849BD">
      <w:pPr>
        <w:spacing w:after="0" w:line="240" w:lineRule="auto"/>
        <w:jc w:val="left"/>
        <w:rPr>
          <w:rFonts w:asciiTheme="minorHAnsi" w:eastAsiaTheme="minorHAnsi" w:hAnsiTheme="minorHAnsi" w:cstheme="minorBidi"/>
          <w:sz w:val="22"/>
          <w:szCs w:val="22"/>
        </w:rPr>
      </w:pPr>
      <w:r w:rsidRPr="0060138F">
        <w:rPr>
          <w:rFonts w:asciiTheme="minorHAnsi" w:eastAsiaTheme="minorHAnsi" w:hAnsiTheme="minorHAnsi" w:cstheme="minorBidi"/>
          <w:sz w:val="22"/>
          <w:szCs w:val="22"/>
        </w:rPr>
        <w:separator/>
      </w:r>
    </w:p>
  </w:footnote>
  <w:footnote w:type="continuationSeparator" w:id="0">
    <w:p w14:paraId="1AAE0040" w14:textId="77777777" w:rsidR="00EB268A" w:rsidRPr="0060138F" w:rsidRDefault="00EB268A" w:rsidP="00F272E1">
      <w:pPr>
        <w:rPr>
          <w:sz w:val="18"/>
          <w:szCs w:val="18"/>
        </w:rPr>
      </w:pPr>
      <w:r w:rsidRPr="0060138F">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AA" w14:textId="77777777" w:rsidR="00F53948" w:rsidRPr="009578E3" w:rsidRDefault="008F3A05" w:rsidP="00D74312">
    <w:pPr>
      <w:pStyle w:val="Header"/>
      <w:jc w:val="center"/>
      <w:rPr>
        <w:i/>
        <w:sz w:val="18"/>
        <w:szCs w:val="18"/>
      </w:rPr>
    </w:pPr>
    <w:r w:rsidRPr="00DE5031">
      <w:rPr>
        <w:i/>
        <w:sz w:val="18"/>
        <w:szCs w:val="18"/>
      </w:rPr>
      <w:t>Institutional Profiles Under a Common Prudential Framework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AB" w14:textId="77777777" w:rsidR="00D51B06" w:rsidRPr="0060138F" w:rsidRDefault="00C31FD6" w:rsidP="00D74312">
    <w:pPr>
      <w:pStyle w:val="Header"/>
      <w:tabs>
        <w:tab w:val="clear" w:pos="4252"/>
        <w:tab w:val="clear" w:pos="8504"/>
        <w:tab w:val="right" w:pos="7371"/>
      </w:tabs>
      <w:jc w:val="center"/>
      <w:rPr>
        <w:i/>
        <w:sz w:val="18"/>
        <w:szCs w:val="18"/>
      </w:rPr>
    </w:pPr>
    <w:r w:rsidRPr="0060138F">
      <w:rPr>
        <w:i/>
        <w:sz w:val="18"/>
        <w:szCs w:val="18"/>
      </w:rPr>
      <w:t>Nery, Victorino and Rangel</w:t>
    </w:r>
  </w:p>
  <w:p w14:paraId="5A5248AC" w14:textId="77777777" w:rsidR="00F21DF7" w:rsidRPr="0060138F" w:rsidRDefault="00F21DF7" w:rsidP="00F272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AF" w14:textId="773050B3" w:rsidR="00264895" w:rsidRPr="00DE5031" w:rsidRDefault="007849F5" w:rsidP="002946FD">
    <w:pPr>
      <w:pStyle w:val="Header"/>
      <w:rPr>
        <w:sz w:val="18"/>
        <w:szCs w:val="18"/>
        <w:lang w:val="es-ES"/>
      </w:rPr>
    </w:pPr>
    <w:r w:rsidRPr="0060138F">
      <w:rPr>
        <w:noProof/>
      </w:rPr>
      <mc:AlternateContent>
        <mc:Choice Requires="wps">
          <w:drawing>
            <wp:anchor distT="0" distB="0" distL="114300" distR="114300" simplePos="0" relativeHeight="251658240" behindDoc="0" locked="0" layoutInCell="1" allowOverlap="1" wp14:anchorId="5A5248B9" wp14:editId="5A5248BA">
              <wp:simplePos x="0" y="0"/>
              <wp:positionH relativeFrom="column">
                <wp:posOffset>-97939</wp:posOffset>
              </wp:positionH>
              <wp:positionV relativeFrom="paragraph">
                <wp:posOffset>-189135</wp:posOffset>
              </wp:positionV>
              <wp:extent cx="1927411" cy="568838"/>
              <wp:effectExtent l="0" t="0" r="0" b="3175"/>
              <wp:wrapNone/>
              <wp:docPr id="5" name="5 Rectángulo"/>
              <wp:cNvGraphicFramePr/>
              <a:graphic xmlns:a="http://schemas.openxmlformats.org/drawingml/2006/main">
                <a:graphicData uri="http://schemas.microsoft.com/office/word/2010/wordprocessingShape">
                  <wps:wsp>
                    <wps:cNvSpPr/>
                    <wps:spPr>
                      <a:xfrm>
                        <a:off x="0" y="0"/>
                        <a:ext cx="1927411" cy="568838"/>
                      </a:xfrm>
                      <a:prstGeom prst="rect">
                        <a:avLst/>
                      </a:prstGeom>
                      <a:solidFill>
                        <a:schemeClr val="bg1">
                          <a:lumMod val="85000"/>
                        </a:schemeClr>
                      </a:solidFill>
                      <a:ln>
                        <a:noFill/>
                      </a:ln>
                    </wps:spPr>
                    <wps:style>
                      <a:lnRef idx="2">
                        <a:schemeClr val="accent6"/>
                      </a:lnRef>
                      <a:fillRef idx="1">
                        <a:schemeClr val="lt1"/>
                      </a:fillRef>
                      <a:effectRef idx="0">
                        <a:schemeClr val="accent6"/>
                      </a:effectRef>
                      <a:fontRef idx="minor">
                        <a:schemeClr val="dk1"/>
                      </a:fontRef>
                    </wps:style>
                    <wps:txbx>
                      <w:txbxContent>
                        <w:p w14:paraId="5A5248BD" w14:textId="1C90A86E" w:rsidR="007849F5" w:rsidRPr="0060138F" w:rsidRDefault="002C6D4A" w:rsidP="00962480">
                          <w:pPr>
                            <w:jc w:val="center"/>
                          </w:pPr>
                          <w:r>
                            <w:t>Logo (institutional)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A5248B9" id="5 Rectángulo" o:spid="_x0000_s1026" style="position:absolute;left:0;text-align:left;margin-left:-7.7pt;margin-top:-14.9pt;width:151.75pt;height:4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" fillcolor="#d8d8d8 [2732]" stroked="f" strokeweight="2pt">
              <v:textbox>
                <w:txbxContent>
                  <w:p w14:paraId="5A5248BD" w14:textId="1C90A86E" w:rsidR="007849F5" w:rsidRPr="0060138F" w:rsidRDefault="002C6D4A" w:rsidP="00962480">
                    <w:pPr>
                      <w:jc w:val="center"/>
                    </w:pPr>
                    <w:r>
                      <w:t>Logo (institutional)</w:t>
                    </w:r>
                  </w:p>
                </w:txbxContent>
              </v:textbox>
            </v:rect>
          </w:pict>
        </mc:Fallback>
      </mc:AlternateContent>
    </w:r>
    <w:r w:rsidR="00333514" w:rsidRPr="00DE5031">
      <w:rPr>
        <w:sz w:val="18"/>
        <w:szCs w:val="18"/>
      </w:rPr>
      <w:tab/>
    </w:r>
    <w:r w:rsidR="002946FD" w:rsidRPr="00DE5031">
      <w:rPr>
        <w:b/>
        <w:bCs/>
        <w:sz w:val="18"/>
        <w:szCs w:val="18"/>
      </w:rPr>
      <w:t xml:space="preserve"> ICA CCR Europe Research Conference 2026</w:t>
    </w:r>
  </w:p>
  <w:p w14:paraId="5A5248B0" w14:textId="0D890925" w:rsidR="007849F5" w:rsidRPr="00DE5031" w:rsidRDefault="00DE5031" w:rsidP="00DA6178">
    <w:pPr>
      <w:pStyle w:val="Header"/>
      <w:tabs>
        <w:tab w:val="clear" w:pos="4252"/>
        <w:tab w:val="clear" w:pos="8504"/>
        <w:tab w:val="right" w:pos="7371"/>
      </w:tabs>
      <w:rPr>
        <w:sz w:val="18"/>
        <w:szCs w:val="18"/>
        <w:lang w:val="es-ES"/>
      </w:rPr>
    </w:pPr>
    <w:r w:rsidRPr="00DE5031">
      <w:rPr>
        <w:sz w:val="18"/>
        <w:szCs w:val="18"/>
      </w:rPr>
      <w:t>Valencia (Spain) 3-6 November 2026</w:t>
    </w:r>
  </w:p>
  <w:p w14:paraId="5A5248B2" w14:textId="77777777" w:rsidR="00541A19" w:rsidRPr="00DE5031" w:rsidRDefault="00541A19" w:rsidP="00DA6178">
    <w:pPr>
      <w:pStyle w:val="Header"/>
      <w:tabs>
        <w:tab w:val="clear" w:pos="4252"/>
        <w:tab w:val="clear" w:pos="8504"/>
        <w:tab w:val="right" w:pos="7371"/>
      </w:tabs>
      <w:rPr>
        <w:sz w:val="18"/>
        <w:szCs w:val="18"/>
        <w:lang w:val="es-ES"/>
      </w:rPr>
    </w:pPr>
  </w:p>
  <w:p w14:paraId="5A5248B3" w14:textId="77777777" w:rsidR="007849F5" w:rsidRPr="00DE5031" w:rsidRDefault="007849F5" w:rsidP="00B87F78">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3E12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B647D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958D4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B2B7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2010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A4CE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6C28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902C8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14C81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E1D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2C7EB9"/>
    <w:multiLevelType w:val="hybridMultilevel"/>
    <w:tmpl w:val="CDCE0F7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72109B8"/>
    <w:multiLevelType w:val="multilevel"/>
    <w:tmpl w:val="80E8D2C0"/>
    <w:lvl w:ilvl="0">
      <w:start w:val="1"/>
      <w:numFmt w:val="decimal"/>
      <w:lvlText w:val="%1."/>
      <w:lvlJc w:val="left"/>
      <w:pPr>
        <w:ind w:left="360" w:hanging="360"/>
      </w:pPr>
      <w:rPr>
        <w:rFonts w:hint="default"/>
      </w:rPr>
    </w:lvl>
    <w:lvl w:ilvl="1">
      <w:start w:val="1"/>
      <w:numFmt w:val="decimal"/>
      <w:pStyle w:val="Heading3"/>
      <w:lvlText w:val="%1.%2."/>
      <w:lvlJc w:val="left"/>
      <w:pPr>
        <w:ind w:left="360" w:hanging="360"/>
      </w:pPr>
      <w:rPr>
        <w:rFonts w:hint="default"/>
      </w:rPr>
    </w:lvl>
    <w:lvl w:ilvl="2">
      <w:start w:val="1"/>
      <w:numFmt w:val="decimal"/>
      <w:pStyle w:val="Heading4"/>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E2C30FB"/>
    <w:multiLevelType w:val="hybridMultilevel"/>
    <w:tmpl w:val="AE242026"/>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8921764"/>
    <w:multiLevelType w:val="hybridMultilevel"/>
    <w:tmpl w:val="F3FA83F4"/>
    <w:lvl w:ilvl="0" w:tplc="B91E23AA">
      <w:start w:val="1"/>
      <w:numFmt w:val="decimal"/>
      <w:lvlText w:val="%1."/>
      <w:lvlJc w:val="left"/>
      <w:pPr>
        <w:ind w:left="720" w:hanging="360"/>
      </w:pPr>
      <w:rPr>
        <w:rFonts w:ascii="Times New Roman" w:hAnsi="Times New Roman"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AD56A58"/>
    <w:multiLevelType w:val="hybridMultilevel"/>
    <w:tmpl w:val="554CA3D6"/>
    <w:lvl w:ilvl="0" w:tplc="B9B253A4">
      <w:start w:val="22"/>
      <w:numFmt w:val="decimal"/>
      <w:lvlText w:val="%1"/>
      <w:lvlJc w:val="left"/>
      <w:pPr>
        <w:ind w:left="825" w:hanging="46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BE1004B"/>
    <w:multiLevelType w:val="hybridMultilevel"/>
    <w:tmpl w:val="725A65F8"/>
    <w:lvl w:ilvl="0" w:tplc="5A6A2442">
      <w:start w:val="1"/>
      <w:numFmt w:val="decimal"/>
      <w:pStyle w:val="Heading2"/>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2CDD4E14"/>
    <w:multiLevelType w:val="multilevel"/>
    <w:tmpl w:val="4708759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4C95E92"/>
    <w:multiLevelType w:val="hybridMultilevel"/>
    <w:tmpl w:val="1898D0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E5D6FC9"/>
    <w:multiLevelType w:val="hybridMultilevel"/>
    <w:tmpl w:val="E15E91F6"/>
    <w:lvl w:ilvl="0" w:tplc="FA24CC9A">
      <w:start w:val="1"/>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5F8A6D0F"/>
    <w:multiLevelType w:val="hybridMultilevel"/>
    <w:tmpl w:val="D868AF18"/>
    <w:lvl w:ilvl="0" w:tplc="C89C7B26">
      <w:start w:val="1"/>
      <w:numFmt w:val="decimal"/>
      <w:lvlText w:val="%1."/>
      <w:lvlJc w:val="left"/>
      <w:pPr>
        <w:ind w:left="360" w:hanging="360"/>
      </w:pPr>
      <w:rPr>
        <w:rFonts w:ascii="Times New Roman" w:hAnsi="Times New Roman" w:hint="default"/>
        <w:sz w:val="2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666635AF"/>
    <w:multiLevelType w:val="hybridMultilevel"/>
    <w:tmpl w:val="5F444D1C"/>
    <w:lvl w:ilvl="0" w:tplc="8FEE08CA">
      <w:start w:val="1"/>
      <w:numFmt w:val="bullet"/>
      <w:lvlText w:val="­"/>
      <w:lvlJc w:val="left"/>
      <w:pPr>
        <w:ind w:left="360" w:hanging="360"/>
      </w:pPr>
      <w:rPr>
        <w:rFonts w:ascii="Courier New" w:hAnsi="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6A825212"/>
    <w:multiLevelType w:val="multilevel"/>
    <w:tmpl w:val="10D28DB0"/>
    <w:lvl w:ilvl="0">
      <w:start w:val="1"/>
      <w:numFmt w:val="decimal"/>
      <w:lvlText w:val="%1."/>
      <w:lvlJc w:val="left"/>
      <w:pPr>
        <w:ind w:left="360" w:hanging="360"/>
      </w:pPr>
      <w:rPr>
        <w:rFonts w:ascii="Times New Roman" w:hAnsi="Times New Roman" w:hint="default"/>
        <w:sz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689376316">
    <w:abstractNumId w:val="8"/>
  </w:num>
  <w:num w:numId="2" w16cid:durableId="1479568314">
    <w:abstractNumId w:val="3"/>
  </w:num>
  <w:num w:numId="3" w16cid:durableId="2039311293">
    <w:abstractNumId w:val="0"/>
  </w:num>
  <w:num w:numId="4" w16cid:durableId="1716348096">
    <w:abstractNumId w:val="9"/>
  </w:num>
  <w:num w:numId="5" w16cid:durableId="681010926">
    <w:abstractNumId w:val="7"/>
  </w:num>
  <w:num w:numId="6" w16cid:durableId="33501033">
    <w:abstractNumId w:val="6"/>
  </w:num>
  <w:num w:numId="7" w16cid:durableId="883175522">
    <w:abstractNumId w:val="5"/>
  </w:num>
  <w:num w:numId="8" w16cid:durableId="246305479">
    <w:abstractNumId w:val="4"/>
  </w:num>
  <w:num w:numId="9" w16cid:durableId="971861403">
    <w:abstractNumId w:val="1"/>
  </w:num>
  <w:num w:numId="10" w16cid:durableId="373385877">
    <w:abstractNumId w:val="2"/>
  </w:num>
  <w:num w:numId="11" w16cid:durableId="1178928945">
    <w:abstractNumId w:val="21"/>
  </w:num>
  <w:num w:numId="12" w16cid:durableId="113640379">
    <w:abstractNumId w:val="19"/>
  </w:num>
  <w:num w:numId="13" w16cid:durableId="833447272">
    <w:abstractNumId w:val="15"/>
  </w:num>
  <w:num w:numId="14" w16cid:durableId="2024935292">
    <w:abstractNumId w:val="11"/>
  </w:num>
  <w:num w:numId="15" w16cid:durableId="1708528173">
    <w:abstractNumId w:val="16"/>
  </w:num>
  <w:num w:numId="16" w16cid:durableId="509877667">
    <w:abstractNumId w:val="14"/>
  </w:num>
  <w:num w:numId="17" w16cid:durableId="251399586">
    <w:abstractNumId w:val="13"/>
  </w:num>
  <w:num w:numId="18" w16cid:durableId="1281647210">
    <w:abstractNumId w:val="17"/>
  </w:num>
  <w:num w:numId="19" w16cid:durableId="1387604904">
    <w:abstractNumId w:val="18"/>
  </w:num>
  <w:num w:numId="20" w16cid:durableId="979580441">
    <w:abstractNumId w:val="20"/>
  </w:num>
  <w:num w:numId="21" w16cid:durableId="365522254">
    <w:abstractNumId w:val="10"/>
  </w:num>
  <w:num w:numId="22" w16cid:durableId="11397654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proofState w:spelling="clean" w:grammar="clean"/>
  <w:attachedTemplate r:id="rId1"/>
  <w:stylePaneFormatFilter w:val="7A04" w:allStyles="0" w:customStyles="0" w:latentStyles="1" w:stylesInUse="0" w:headingStyles="0" w:numberingStyles="0" w:tableStyles="0" w:directFormattingOnRuns="0" w:directFormattingOnParagraphs="1" w:directFormattingOnNumbering="0" w:directFormattingOnTables="1" w:clearFormatting="1" w:top3HeadingStyles="1" w:visibleStyles="1" w:alternateStyleNames="0"/>
  <w:stylePaneSortMethod w:val="0000"/>
  <w:defaultTabStop w:val="708"/>
  <w:consecutiveHyphenLimit w:val="3"/>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23"/>
    <w:rsid w:val="000001DE"/>
    <w:rsid w:val="00033DCD"/>
    <w:rsid w:val="00034DBB"/>
    <w:rsid w:val="00037929"/>
    <w:rsid w:val="000449C3"/>
    <w:rsid w:val="00044AC1"/>
    <w:rsid w:val="00070C4F"/>
    <w:rsid w:val="0007400B"/>
    <w:rsid w:val="00085A79"/>
    <w:rsid w:val="000866DD"/>
    <w:rsid w:val="00086DD5"/>
    <w:rsid w:val="00096E3C"/>
    <w:rsid w:val="000A7E6F"/>
    <w:rsid w:val="000B0BF8"/>
    <w:rsid w:val="000B3D00"/>
    <w:rsid w:val="000B5046"/>
    <w:rsid w:val="000C3D88"/>
    <w:rsid w:val="000C74BD"/>
    <w:rsid w:val="000D6EE8"/>
    <w:rsid w:val="000E5CA7"/>
    <w:rsid w:val="000E72B8"/>
    <w:rsid w:val="00104FBE"/>
    <w:rsid w:val="0011489B"/>
    <w:rsid w:val="00127F28"/>
    <w:rsid w:val="00134B79"/>
    <w:rsid w:val="0014234B"/>
    <w:rsid w:val="00147C56"/>
    <w:rsid w:val="001608B1"/>
    <w:rsid w:val="001634C2"/>
    <w:rsid w:val="00167700"/>
    <w:rsid w:val="0017300B"/>
    <w:rsid w:val="001739BB"/>
    <w:rsid w:val="001766BA"/>
    <w:rsid w:val="00177567"/>
    <w:rsid w:val="0017790E"/>
    <w:rsid w:val="00180060"/>
    <w:rsid w:val="001869ED"/>
    <w:rsid w:val="001B04D0"/>
    <w:rsid w:val="001B6CDE"/>
    <w:rsid w:val="001D5DEE"/>
    <w:rsid w:val="001D7203"/>
    <w:rsid w:val="001E2646"/>
    <w:rsid w:val="001E5BF0"/>
    <w:rsid w:val="001F7D99"/>
    <w:rsid w:val="00200C2A"/>
    <w:rsid w:val="00204ED5"/>
    <w:rsid w:val="00222AC9"/>
    <w:rsid w:val="00256628"/>
    <w:rsid w:val="00256C31"/>
    <w:rsid w:val="00264895"/>
    <w:rsid w:val="00281D85"/>
    <w:rsid w:val="002846E5"/>
    <w:rsid w:val="002946FD"/>
    <w:rsid w:val="00296CCA"/>
    <w:rsid w:val="002A0550"/>
    <w:rsid w:val="002A3E10"/>
    <w:rsid w:val="002B084F"/>
    <w:rsid w:val="002B0DB2"/>
    <w:rsid w:val="002C6D4A"/>
    <w:rsid w:val="002E3465"/>
    <w:rsid w:val="002E36B1"/>
    <w:rsid w:val="002E4F4F"/>
    <w:rsid w:val="002F4D48"/>
    <w:rsid w:val="003115C3"/>
    <w:rsid w:val="003167C0"/>
    <w:rsid w:val="00331EEB"/>
    <w:rsid w:val="00333514"/>
    <w:rsid w:val="0034267D"/>
    <w:rsid w:val="00343F8B"/>
    <w:rsid w:val="0035232F"/>
    <w:rsid w:val="00352CE4"/>
    <w:rsid w:val="003548E8"/>
    <w:rsid w:val="00362A96"/>
    <w:rsid w:val="00365951"/>
    <w:rsid w:val="00367AE8"/>
    <w:rsid w:val="0039349D"/>
    <w:rsid w:val="0039393F"/>
    <w:rsid w:val="003949E7"/>
    <w:rsid w:val="00395CC2"/>
    <w:rsid w:val="00397AA6"/>
    <w:rsid w:val="00397CFC"/>
    <w:rsid w:val="003B7778"/>
    <w:rsid w:val="003C184F"/>
    <w:rsid w:val="003C4B0D"/>
    <w:rsid w:val="003D1A36"/>
    <w:rsid w:val="003D65F8"/>
    <w:rsid w:val="003E0BB0"/>
    <w:rsid w:val="003E3DA4"/>
    <w:rsid w:val="003E4DB5"/>
    <w:rsid w:val="003F005E"/>
    <w:rsid w:val="003F64B7"/>
    <w:rsid w:val="00421B24"/>
    <w:rsid w:val="00425294"/>
    <w:rsid w:val="00435F38"/>
    <w:rsid w:val="0044653F"/>
    <w:rsid w:val="0045629E"/>
    <w:rsid w:val="0046477E"/>
    <w:rsid w:val="00471A36"/>
    <w:rsid w:val="0047299F"/>
    <w:rsid w:val="00480B01"/>
    <w:rsid w:val="00484F72"/>
    <w:rsid w:val="00491B39"/>
    <w:rsid w:val="00491D82"/>
    <w:rsid w:val="00494719"/>
    <w:rsid w:val="00497F8D"/>
    <w:rsid w:val="004C0E25"/>
    <w:rsid w:val="004D3148"/>
    <w:rsid w:val="004D71AF"/>
    <w:rsid w:val="004E3B1B"/>
    <w:rsid w:val="004E64E7"/>
    <w:rsid w:val="005079F9"/>
    <w:rsid w:val="00507E53"/>
    <w:rsid w:val="005175C0"/>
    <w:rsid w:val="00521905"/>
    <w:rsid w:val="005243DD"/>
    <w:rsid w:val="00535532"/>
    <w:rsid w:val="00541A19"/>
    <w:rsid w:val="00543BF3"/>
    <w:rsid w:val="0054451D"/>
    <w:rsid w:val="0055162E"/>
    <w:rsid w:val="00554580"/>
    <w:rsid w:val="00560A50"/>
    <w:rsid w:val="0056295A"/>
    <w:rsid w:val="005642F4"/>
    <w:rsid w:val="00565F6F"/>
    <w:rsid w:val="0056728D"/>
    <w:rsid w:val="00575934"/>
    <w:rsid w:val="00577AD3"/>
    <w:rsid w:val="00582C16"/>
    <w:rsid w:val="00595A5D"/>
    <w:rsid w:val="005B0916"/>
    <w:rsid w:val="005B3E08"/>
    <w:rsid w:val="005B52B5"/>
    <w:rsid w:val="005B6194"/>
    <w:rsid w:val="005D0A3E"/>
    <w:rsid w:val="005E12BA"/>
    <w:rsid w:val="005E1F73"/>
    <w:rsid w:val="005F431B"/>
    <w:rsid w:val="0060138F"/>
    <w:rsid w:val="00613A71"/>
    <w:rsid w:val="006512CC"/>
    <w:rsid w:val="00652500"/>
    <w:rsid w:val="006579E7"/>
    <w:rsid w:val="0066115E"/>
    <w:rsid w:val="00664733"/>
    <w:rsid w:val="00676CA3"/>
    <w:rsid w:val="00681F8A"/>
    <w:rsid w:val="0068323A"/>
    <w:rsid w:val="00685282"/>
    <w:rsid w:val="00686815"/>
    <w:rsid w:val="006A37CB"/>
    <w:rsid w:val="006B2281"/>
    <w:rsid w:val="006B3FB2"/>
    <w:rsid w:val="006D3DAA"/>
    <w:rsid w:val="006E6764"/>
    <w:rsid w:val="006F0334"/>
    <w:rsid w:val="006F1F85"/>
    <w:rsid w:val="007202F8"/>
    <w:rsid w:val="00725225"/>
    <w:rsid w:val="00730526"/>
    <w:rsid w:val="00731FF1"/>
    <w:rsid w:val="00732262"/>
    <w:rsid w:val="00747B73"/>
    <w:rsid w:val="0076250F"/>
    <w:rsid w:val="007679A8"/>
    <w:rsid w:val="00782C1A"/>
    <w:rsid w:val="007849F5"/>
    <w:rsid w:val="00786FC0"/>
    <w:rsid w:val="00793972"/>
    <w:rsid w:val="00796E54"/>
    <w:rsid w:val="007A0253"/>
    <w:rsid w:val="007D47DB"/>
    <w:rsid w:val="007E280F"/>
    <w:rsid w:val="007E5598"/>
    <w:rsid w:val="007F797D"/>
    <w:rsid w:val="00803B3C"/>
    <w:rsid w:val="00805050"/>
    <w:rsid w:val="00806007"/>
    <w:rsid w:val="008114AD"/>
    <w:rsid w:val="00825C5B"/>
    <w:rsid w:val="008267D0"/>
    <w:rsid w:val="00831B6D"/>
    <w:rsid w:val="008420CC"/>
    <w:rsid w:val="008550A9"/>
    <w:rsid w:val="0085549D"/>
    <w:rsid w:val="00861535"/>
    <w:rsid w:val="00863F96"/>
    <w:rsid w:val="008800C6"/>
    <w:rsid w:val="008901D9"/>
    <w:rsid w:val="00893980"/>
    <w:rsid w:val="00893D20"/>
    <w:rsid w:val="00896E48"/>
    <w:rsid w:val="008B357B"/>
    <w:rsid w:val="008B3A9B"/>
    <w:rsid w:val="008B54F3"/>
    <w:rsid w:val="008C0401"/>
    <w:rsid w:val="008C7113"/>
    <w:rsid w:val="008D69F0"/>
    <w:rsid w:val="008D77EB"/>
    <w:rsid w:val="008E2F58"/>
    <w:rsid w:val="008E398A"/>
    <w:rsid w:val="008F3A05"/>
    <w:rsid w:val="008F57E4"/>
    <w:rsid w:val="00902508"/>
    <w:rsid w:val="009077F4"/>
    <w:rsid w:val="009139E3"/>
    <w:rsid w:val="0091464F"/>
    <w:rsid w:val="00916295"/>
    <w:rsid w:val="00916E45"/>
    <w:rsid w:val="00924C2A"/>
    <w:rsid w:val="00926E18"/>
    <w:rsid w:val="009274A3"/>
    <w:rsid w:val="00956142"/>
    <w:rsid w:val="00957054"/>
    <w:rsid w:val="009578E3"/>
    <w:rsid w:val="00961EFC"/>
    <w:rsid w:val="00962480"/>
    <w:rsid w:val="00962971"/>
    <w:rsid w:val="009631F6"/>
    <w:rsid w:val="009644F2"/>
    <w:rsid w:val="00965860"/>
    <w:rsid w:val="00970782"/>
    <w:rsid w:val="00980636"/>
    <w:rsid w:val="009927E9"/>
    <w:rsid w:val="00997E1B"/>
    <w:rsid w:val="009A53D6"/>
    <w:rsid w:val="009B54B7"/>
    <w:rsid w:val="009B54EF"/>
    <w:rsid w:val="009D07C5"/>
    <w:rsid w:val="009D42E4"/>
    <w:rsid w:val="009D6CB4"/>
    <w:rsid w:val="009D759F"/>
    <w:rsid w:val="009F18D6"/>
    <w:rsid w:val="009F7B9E"/>
    <w:rsid w:val="00A144E1"/>
    <w:rsid w:val="00A56A66"/>
    <w:rsid w:val="00A641C6"/>
    <w:rsid w:val="00A70FAA"/>
    <w:rsid w:val="00A7635D"/>
    <w:rsid w:val="00A821F7"/>
    <w:rsid w:val="00A867BF"/>
    <w:rsid w:val="00A86881"/>
    <w:rsid w:val="00A9434C"/>
    <w:rsid w:val="00AA1ED2"/>
    <w:rsid w:val="00AA3F58"/>
    <w:rsid w:val="00AA5DC4"/>
    <w:rsid w:val="00AC616C"/>
    <w:rsid w:val="00B10024"/>
    <w:rsid w:val="00B227D5"/>
    <w:rsid w:val="00B513A0"/>
    <w:rsid w:val="00B54191"/>
    <w:rsid w:val="00B61608"/>
    <w:rsid w:val="00B72CC6"/>
    <w:rsid w:val="00B82796"/>
    <w:rsid w:val="00B87F78"/>
    <w:rsid w:val="00B90C46"/>
    <w:rsid w:val="00B91688"/>
    <w:rsid w:val="00BB661D"/>
    <w:rsid w:val="00BB6A50"/>
    <w:rsid w:val="00BE3063"/>
    <w:rsid w:val="00BE3F73"/>
    <w:rsid w:val="00C063B4"/>
    <w:rsid w:val="00C10299"/>
    <w:rsid w:val="00C10AFC"/>
    <w:rsid w:val="00C238A7"/>
    <w:rsid w:val="00C24E22"/>
    <w:rsid w:val="00C27752"/>
    <w:rsid w:val="00C31FD6"/>
    <w:rsid w:val="00C375B8"/>
    <w:rsid w:val="00C459FA"/>
    <w:rsid w:val="00C46D81"/>
    <w:rsid w:val="00C502AD"/>
    <w:rsid w:val="00C50873"/>
    <w:rsid w:val="00C52308"/>
    <w:rsid w:val="00C76FA9"/>
    <w:rsid w:val="00C7736E"/>
    <w:rsid w:val="00C80B33"/>
    <w:rsid w:val="00C81D5C"/>
    <w:rsid w:val="00C82FD1"/>
    <w:rsid w:val="00C849BD"/>
    <w:rsid w:val="00CA40D5"/>
    <w:rsid w:val="00CB2BA7"/>
    <w:rsid w:val="00CE0CBC"/>
    <w:rsid w:val="00CF56F4"/>
    <w:rsid w:val="00D03421"/>
    <w:rsid w:val="00D16540"/>
    <w:rsid w:val="00D23C08"/>
    <w:rsid w:val="00D3289A"/>
    <w:rsid w:val="00D409EC"/>
    <w:rsid w:val="00D43EA6"/>
    <w:rsid w:val="00D44A47"/>
    <w:rsid w:val="00D4774E"/>
    <w:rsid w:val="00D51B06"/>
    <w:rsid w:val="00D52805"/>
    <w:rsid w:val="00D55C99"/>
    <w:rsid w:val="00D577B8"/>
    <w:rsid w:val="00D66B4C"/>
    <w:rsid w:val="00D74312"/>
    <w:rsid w:val="00D8258C"/>
    <w:rsid w:val="00D91667"/>
    <w:rsid w:val="00D93337"/>
    <w:rsid w:val="00D95175"/>
    <w:rsid w:val="00DA3010"/>
    <w:rsid w:val="00DA6178"/>
    <w:rsid w:val="00DB064B"/>
    <w:rsid w:val="00DD1A77"/>
    <w:rsid w:val="00DD58AB"/>
    <w:rsid w:val="00DE5031"/>
    <w:rsid w:val="00E16316"/>
    <w:rsid w:val="00E2137C"/>
    <w:rsid w:val="00E24302"/>
    <w:rsid w:val="00E334E9"/>
    <w:rsid w:val="00E45859"/>
    <w:rsid w:val="00E62B43"/>
    <w:rsid w:val="00E648F8"/>
    <w:rsid w:val="00E65EDD"/>
    <w:rsid w:val="00E67D0A"/>
    <w:rsid w:val="00E72CE3"/>
    <w:rsid w:val="00E92DA8"/>
    <w:rsid w:val="00E94371"/>
    <w:rsid w:val="00E963B7"/>
    <w:rsid w:val="00EA411E"/>
    <w:rsid w:val="00EA6077"/>
    <w:rsid w:val="00EB0D2D"/>
    <w:rsid w:val="00EB268A"/>
    <w:rsid w:val="00EB66C5"/>
    <w:rsid w:val="00EC7EE9"/>
    <w:rsid w:val="00ED549A"/>
    <w:rsid w:val="00EF0314"/>
    <w:rsid w:val="00EF1E92"/>
    <w:rsid w:val="00EF5B74"/>
    <w:rsid w:val="00F05DE4"/>
    <w:rsid w:val="00F172EB"/>
    <w:rsid w:val="00F21DF7"/>
    <w:rsid w:val="00F22123"/>
    <w:rsid w:val="00F272E1"/>
    <w:rsid w:val="00F30D8C"/>
    <w:rsid w:val="00F31ED0"/>
    <w:rsid w:val="00F37E74"/>
    <w:rsid w:val="00F40EB5"/>
    <w:rsid w:val="00F44955"/>
    <w:rsid w:val="00F53948"/>
    <w:rsid w:val="00F6240A"/>
    <w:rsid w:val="00F713C3"/>
    <w:rsid w:val="00F82C8D"/>
    <w:rsid w:val="00F85261"/>
    <w:rsid w:val="00F90E4A"/>
    <w:rsid w:val="00F93B37"/>
    <w:rsid w:val="00F95D58"/>
    <w:rsid w:val="00FA2C51"/>
    <w:rsid w:val="00FA2DD6"/>
    <w:rsid w:val="00FC4E12"/>
    <w:rsid w:val="00FE5379"/>
    <w:rsid w:val="00FE6298"/>
    <w:rsid w:val="00FE6A59"/>
    <w:rsid w:val="00FF2CCE"/>
    <w:rsid w:val="00FF789E"/>
    <w:rsid w:val="285166B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524846"/>
  <w15:docId w15:val="{0B1658E1-3A40-4B8D-81A9-0BEFFE684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annotation text" w:semiHidden="1"/>
    <w:lsdException w:name="header" w:uiPriority="99"/>
    <w:lsdException w:name="footer" w:uiPriority="99"/>
    <w:lsdException w:name="index heading" w:semiHidden="1"/>
    <w:lsdException w:name="caption" w:semiHidden="1" w:qFormat="1"/>
    <w:lsdException w:name="table of figures" w:semiHidden="1"/>
    <w:lsdException w:name="envelope addres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B33"/>
    <w:pPr>
      <w:spacing w:after="120" w:line="288" w:lineRule="auto"/>
      <w:jc w:val="both"/>
    </w:pPr>
    <w:rPr>
      <w:lang w:val="en-US"/>
    </w:rPr>
  </w:style>
  <w:style w:type="paragraph" w:styleId="Heading1">
    <w:name w:val="heading 1"/>
    <w:basedOn w:val="Normal"/>
    <w:next w:val="Normal"/>
    <w:qFormat/>
    <w:rsid w:val="00F272E1"/>
    <w:pPr>
      <w:keepNext/>
      <w:outlineLvl w:val="0"/>
    </w:pPr>
    <w:rPr>
      <w:rFonts w:cs="Arial"/>
      <w:b/>
      <w:bCs/>
      <w:kern w:val="32"/>
      <w:sz w:val="26"/>
      <w:szCs w:val="26"/>
    </w:rPr>
  </w:style>
  <w:style w:type="paragraph" w:styleId="Heading2">
    <w:name w:val="heading 2"/>
    <w:basedOn w:val="Normal"/>
    <w:next w:val="Normal"/>
    <w:qFormat/>
    <w:rsid w:val="003949E7"/>
    <w:pPr>
      <w:keepNext/>
      <w:numPr>
        <w:numId w:val="13"/>
      </w:numPr>
      <w:spacing w:before="360"/>
      <w:ind w:left="284" w:hanging="284"/>
      <w:outlineLvl w:val="1"/>
    </w:pPr>
    <w:rPr>
      <w:rFonts w:cs="Arial"/>
      <w:b/>
      <w:bCs/>
      <w:iCs/>
      <w:sz w:val="22"/>
      <w:szCs w:val="22"/>
      <w:lang w:val="es-ES"/>
    </w:rPr>
  </w:style>
  <w:style w:type="paragraph" w:styleId="Heading3">
    <w:name w:val="heading 3"/>
    <w:basedOn w:val="ListParagraph"/>
    <w:next w:val="Normal"/>
    <w:qFormat/>
    <w:rsid w:val="003949E7"/>
    <w:pPr>
      <w:keepNext/>
      <w:numPr>
        <w:ilvl w:val="1"/>
        <w:numId w:val="14"/>
      </w:numPr>
      <w:outlineLvl w:val="2"/>
    </w:pPr>
    <w:rPr>
      <w:b/>
      <w:lang w:val="es-ES"/>
    </w:rPr>
  </w:style>
  <w:style w:type="paragraph" w:styleId="Heading4">
    <w:name w:val="heading 4"/>
    <w:basedOn w:val="ListParagraph"/>
    <w:next w:val="Normal"/>
    <w:qFormat/>
    <w:rsid w:val="00AA3F58"/>
    <w:pPr>
      <w:numPr>
        <w:ilvl w:val="2"/>
        <w:numId w:val="14"/>
      </w:numPr>
      <w:spacing w:after="60"/>
      <w:ind w:left="567" w:hanging="567"/>
      <w:outlineLvl w:val="3"/>
    </w:pPr>
    <w:rPr>
      <w:i/>
      <w:lang w:val="es-ES"/>
    </w:rPr>
  </w:style>
  <w:style w:type="paragraph" w:styleId="Heading5">
    <w:name w:val="heading 5"/>
    <w:basedOn w:val="Normal"/>
    <w:next w:val="Normal"/>
    <w:link w:val="Heading5Char"/>
    <w:semiHidden/>
    <w:qFormat/>
    <w:rsid w:val="00D9333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8C7113"/>
    <w:rPr>
      <w:sz w:val="20"/>
      <w:vertAlign w:val="superscript"/>
    </w:rPr>
  </w:style>
  <w:style w:type="paragraph" w:styleId="Header">
    <w:name w:val="header"/>
    <w:basedOn w:val="Normal"/>
    <w:link w:val="HeaderChar"/>
    <w:uiPriority w:val="99"/>
    <w:semiHidden/>
    <w:rsid w:val="0017790E"/>
    <w:pPr>
      <w:tabs>
        <w:tab w:val="center" w:pos="4252"/>
        <w:tab w:val="right" w:pos="8504"/>
      </w:tabs>
      <w:spacing w:after="0" w:line="240" w:lineRule="auto"/>
      <w:jc w:val="right"/>
    </w:pPr>
    <w:rPr>
      <w:sz w:val="16"/>
      <w:szCs w:val="16"/>
    </w:rPr>
  </w:style>
  <w:style w:type="paragraph" w:customStyle="1" w:styleId="TablaImagen-Ttulo">
    <w:name w:val="Tabla / Imagen - Título"/>
    <w:basedOn w:val="Normal"/>
    <w:next w:val="Normal"/>
    <w:rsid w:val="003949E7"/>
    <w:pPr>
      <w:spacing w:before="120"/>
      <w:jc w:val="center"/>
    </w:pPr>
    <w:rPr>
      <w:b/>
      <w:sz w:val="18"/>
      <w:szCs w:val="18"/>
      <w:lang w:val="es-ES"/>
    </w:rPr>
  </w:style>
  <w:style w:type="character" w:styleId="PageNumber">
    <w:name w:val="page number"/>
    <w:semiHidden/>
    <w:rsid w:val="00D55C99"/>
    <w:rPr>
      <w:rFonts w:ascii="Trebuchet MS" w:hAnsi="Trebuchet MS"/>
      <w:sz w:val="17"/>
    </w:rPr>
  </w:style>
  <w:style w:type="paragraph" w:styleId="FootnoteText">
    <w:name w:val="footnote text"/>
    <w:basedOn w:val="Normal"/>
    <w:semiHidden/>
    <w:rsid w:val="00D55C99"/>
    <w:rPr>
      <w:sz w:val="14"/>
    </w:rPr>
  </w:style>
  <w:style w:type="paragraph" w:customStyle="1" w:styleId="Textonotaalpie">
    <w:name w:val="Texto nota al pie"/>
    <w:basedOn w:val="Normal"/>
    <w:next w:val="Normal"/>
    <w:rsid w:val="008550A9"/>
    <w:pPr>
      <w:tabs>
        <w:tab w:val="left" w:pos="170"/>
      </w:tabs>
      <w:spacing w:after="240" w:line="240" w:lineRule="auto"/>
      <w:ind w:left="170" w:hanging="170"/>
    </w:pPr>
    <w:rPr>
      <w:sz w:val="16"/>
      <w:szCs w:val="15"/>
    </w:rPr>
  </w:style>
  <w:style w:type="paragraph" w:styleId="Footer">
    <w:name w:val="footer"/>
    <w:basedOn w:val="Normal"/>
    <w:link w:val="FooterChar"/>
    <w:uiPriority w:val="99"/>
    <w:semiHidden/>
    <w:rsid w:val="003C184F"/>
    <w:pPr>
      <w:tabs>
        <w:tab w:val="center" w:pos="4252"/>
        <w:tab w:val="right" w:pos="8504"/>
      </w:tabs>
    </w:pPr>
  </w:style>
  <w:style w:type="paragraph" w:styleId="Revision">
    <w:name w:val="Revision"/>
    <w:hidden/>
    <w:uiPriority w:val="99"/>
    <w:semiHidden/>
    <w:rsid w:val="00494719"/>
    <w:rPr>
      <w:rFonts w:ascii="Arial" w:hAnsi="Arial"/>
      <w:sz w:val="18"/>
      <w:szCs w:val="24"/>
    </w:rPr>
  </w:style>
  <w:style w:type="paragraph" w:customStyle="1" w:styleId="Ttulo3sinnum">
    <w:name w:val="Título 3 sin num."/>
    <w:basedOn w:val="Normal"/>
    <w:rsid w:val="003949E7"/>
    <w:pPr>
      <w:keepNext/>
      <w:spacing w:before="240" w:line="240" w:lineRule="exact"/>
      <w:ind w:left="284" w:hanging="284"/>
    </w:pPr>
    <w:rPr>
      <w:b/>
      <w:bCs/>
    </w:rPr>
  </w:style>
  <w:style w:type="paragraph" w:styleId="BalloonText">
    <w:name w:val="Balloon Text"/>
    <w:basedOn w:val="Normal"/>
    <w:link w:val="BalloonTextChar"/>
    <w:semiHidden/>
    <w:rsid w:val="00256628"/>
    <w:pPr>
      <w:spacing w:after="0" w:line="240" w:lineRule="auto"/>
    </w:pPr>
    <w:rPr>
      <w:rFonts w:ascii="Tahoma" w:hAnsi="Tahoma" w:cs="Tahoma"/>
      <w:sz w:val="16"/>
      <w:szCs w:val="16"/>
    </w:rPr>
  </w:style>
  <w:style w:type="paragraph" w:customStyle="1" w:styleId="Autor1">
    <w:name w:val="Autor 1"/>
    <w:basedOn w:val="Normal"/>
    <w:rsid w:val="00FA2C51"/>
    <w:pPr>
      <w:spacing w:after="0"/>
    </w:pPr>
    <w:rPr>
      <w:b/>
    </w:rPr>
  </w:style>
  <w:style w:type="character" w:customStyle="1" w:styleId="Autor2">
    <w:name w:val="Autor 2"/>
    <w:rsid w:val="00F272E1"/>
    <w:rPr>
      <w:sz w:val="18"/>
      <w:szCs w:val="18"/>
      <w:lang w:val="es-ES"/>
    </w:rPr>
  </w:style>
  <w:style w:type="character" w:customStyle="1" w:styleId="BalloonTextChar">
    <w:name w:val="Balloon Text Char"/>
    <w:basedOn w:val="DefaultParagraphFont"/>
    <w:link w:val="BalloonText"/>
    <w:semiHidden/>
    <w:rsid w:val="0017300B"/>
    <w:rPr>
      <w:rFonts w:ascii="Tahoma" w:hAnsi="Tahoma" w:cs="Tahoma"/>
      <w:sz w:val="16"/>
      <w:szCs w:val="16"/>
      <w:lang w:val="en-US"/>
    </w:rPr>
  </w:style>
  <w:style w:type="character" w:customStyle="1" w:styleId="HeaderChar">
    <w:name w:val="Header Char"/>
    <w:basedOn w:val="DefaultParagraphFont"/>
    <w:link w:val="Header"/>
    <w:uiPriority w:val="99"/>
    <w:semiHidden/>
    <w:rsid w:val="0017300B"/>
    <w:rPr>
      <w:sz w:val="16"/>
      <w:szCs w:val="16"/>
      <w:lang w:val="en-US"/>
    </w:rPr>
  </w:style>
  <w:style w:type="character" w:customStyle="1" w:styleId="FooterChar">
    <w:name w:val="Footer Char"/>
    <w:basedOn w:val="DefaultParagraphFont"/>
    <w:link w:val="Footer"/>
    <w:uiPriority w:val="99"/>
    <w:semiHidden/>
    <w:rsid w:val="0017300B"/>
    <w:rPr>
      <w:lang w:val="en-US"/>
    </w:rPr>
  </w:style>
  <w:style w:type="paragraph" w:customStyle="1" w:styleId="Abstract">
    <w:name w:val="Abstract"/>
    <w:basedOn w:val="Normal"/>
    <w:rsid w:val="00F272E1"/>
    <w:pPr>
      <w:ind w:left="567" w:right="567"/>
    </w:pPr>
    <w:rPr>
      <w:i/>
    </w:rPr>
  </w:style>
  <w:style w:type="paragraph" w:customStyle="1" w:styleId="TtuloAbstract">
    <w:name w:val="Título Abstract"/>
    <w:basedOn w:val="Heading2"/>
    <w:rsid w:val="003949E7"/>
    <w:pPr>
      <w:numPr>
        <w:numId w:val="0"/>
      </w:numPr>
      <w:pBdr>
        <w:top w:val="single" w:sz="4" w:space="1" w:color="auto"/>
      </w:pBdr>
      <w:spacing w:after="0"/>
      <w:ind w:left="567" w:right="567"/>
    </w:pPr>
    <w:rPr>
      <w:rFonts w:cs="Times New Roman"/>
      <w:i/>
      <w:iCs w:val="0"/>
      <w:szCs w:val="20"/>
    </w:rPr>
  </w:style>
  <w:style w:type="paragraph" w:styleId="ListBullet">
    <w:name w:val="List Bullet"/>
    <w:basedOn w:val="Normal"/>
    <w:semiHidden/>
    <w:rsid w:val="00FC4E12"/>
    <w:pPr>
      <w:numPr>
        <w:numId w:val="4"/>
      </w:numPr>
      <w:contextualSpacing/>
    </w:pPr>
  </w:style>
  <w:style w:type="character" w:styleId="Hyperlink">
    <w:name w:val="Hyperlink"/>
    <w:basedOn w:val="DefaultParagraphFont"/>
    <w:semiHidden/>
    <w:rsid w:val="00543BF3"/>
    <w:rPr>
      <w:color w:val="0000FF" w:themeColor="hyperlink"/>
      <w:u w:val="single"/>
    </w:rPr>
  </w:style>
  <w:style w:type="paragraph" w:styleId="ListParagraph">
    <w:name w:val="List Paragraph"/>
    <w:basedOn w:val="Normal"/>
    <w:uiPriority w:val="34"/>
    <w:semiHidden/>
    <w:qFormat/>
    <w:rsid w:val="00B10024"/>
    <w:pPr>
      <w:spacing w:before="240"/>
      <w:ind w:left="720"/>
      <w:contextualSpacing/>
    </w:pPr>
  </w:style>
  <w:style w:type="paragraph" w:customStyle="1" w:styleId="Titulofigura">
    <w:name w:val="Titulo figura"/>
    <w:aliases w:val="tabla"/>
    <w:basedOn w:val="Normal"/>
    <w:rsid w:val="00831B6D"/>
    <w:pPr>
      <w:widowControl w:val="0"/>
      <w:suppressAutoHyphens/>
      <w:spacing w:before="120" w:line="240" w:lineRule="exact"/>
    </w:pPr>
    <w:rPr>
      <w:rFonts w:ascii="Arial Narrow" w:eastAsia="Times" w:hAnsi="Arial Narrow"/>
      <w:i/>
      <w:iCs/>
      <w:kern w:val="20"/>
      <w:lang w:val="es-ES" w:eastAsia="en-US"/>
    </w:rPr>
  </w:style>
  <w:style w:type="paragraph" w:customStyle="1" w:styleId="Equation">
    <w:name w:val="Equation"/>
    <w:basedOn w:val="BodyText"/>
    <w:rsid w:val="00C80B33"/>
    <w:pPr>
      <w:widowControl w:val="0"/>
      <w:suppressAutoHyphens/>
      <w:spacing w:line="240" w:lineRule="auto"/>
      <w:jc w:val="center"/>
    </w:pPr>
    <w:rPr>
      <w:rFonts w:ascii="Arial Narrow" w:eastAsia="Times" w:hAnsi="Arial Narrow" w:cs="Arial"/>
      <w:noProof/>
      <w:kern w:val="20"/>
      <w:sz w:val="22"/>
      <w:szCs w:val="22"/>
      <w:lang w:val="es-ES" w:eastAsia="en-US"/>
    </w:rPr>
  </w:style>
  <w:style w:type="paragraph" w:styleId="BodyText">
    <w:name w:val="Body Text"/>
    <w:basedOn w:val="Normal"/>
    <w:link w:val="BodyTextChar"/>
    <w:semiHidden/>
    <w:rsid w:val="00BE3F73"/>
  </w:style>
  <w:style w:type="character" w:customStyle="1" w:styleId="BodyTextChar">
    <w:name w:val="Body Text Char"/>
    <w:basedOn w:val="DefaultParagraphFont"/>
    <w:link w:val="BodyText"/>
    <w:semiHidden/>
    <w:rsid w:val="0017300B"/>
    <w:rPr>
      <w:lang w:val="en-US"/>
    </w:rPr>
  </w:style>
  <w:style w:type="character" w:customStyle="1" w:styleId="Heading5Char">
    <w:name w:val="Heading 5 Char"/>
    <w:basedOn w:val="DefaultParagraphFont"/>
    <w:link w:val="Heading5"/>
    <w:semiHidden/>
    <w:rsid w:val="0017300B"/>
    <w:rPr>
      <w:rFonts w:asciiTheme="majorHAnsi" w:eastAsiaTheme="majorEastAsia" w:hAnsiTheme="majorHAnsi" w:cstheme="majorBidi"/>
      <w:color w:val="243F60" w:themeColor="accent1" w:themeShade="7F"/>
      <w:lang w:val="en-US"/>
    </w:rPr>
  </w:style>
  <w:style w:type="paragraph" w:customStyle="1" w:styleId="ReferenciasBibliogrficas">
    <w:name w:val="Referencias Bibliográficas"/>
    <w:basedOn w:val="Normal"/>
    <w:qFormat/>
    <w:rsid w:val="0017300B"/>
    <w:pPr>
      <w:spacing w:line="240" w:lineRule="exact"/>
      <w:ind w:left="284" w:hanging="284"/>
    </w:pPr>
    <w:rPr>
      <w:sz w:val="18"/>
      <w:szCs w:val="18"/>
      <w:lang w:val="fr-FR"/>
    </w:rPr>
  </w:style>
  <w:style w:type="paragraph" w:customStyle="1" w:styleId="EstiloCentrado">
    <w:name w:val="Estilo Centrado"/>
    <w:basedOn w:val="Normal"/>
    <w:rsid w:val="001B6CDE"/>
    <w:pPr>
      <w:spacing w:after="0"/>
      <w:jc w:val="center"/>
    </w:pPr>
  </w:style>
  <w:style w:type="paragraph" w:customStyle="1" w:styleId="Ttulo2sinnum">
    <w:name w:val="Título 2 sin num."/>
    <w:basedOn w:val="Heading2"/>
    <w:rsid w:val="00D74312"/>
    <w:pPr>
      <w:numPr>
        <w:numId w:val="0"/>
      </w:numPr>
    </w:pPr>
    <w:rPr>
      <w:rFonts w:cs="Times New Roman"/>
      <w:iCs w:val="0"/>
      <w:szCs w:val="20"/>
    </w:rPr>
  </w:style>
  <w:style w:type="paragraph" w:customStyle="1" w:styleId="EstiloPrrafodelistaNegrita">
    <w:name w:val="Estilo Párrafo de lista + Negrita"/>
    <w:basedOn w:val="ListParagraph"/>
    <w:rsid w:val="00C81D5C"/>
    <w:pPr>
      <w:tabs>
        <w:tab w:val="num" w:pos="360"/>
      </w:tabs>
      <w:ind w:left="357" w:hanging="357"/>
    </w:pPr>
    <w:rPr>
      <w:b/>
      <w:lang w:val="es-ES"/>
    </w:rPr>
  </w:style>
  <w:style w:type="character" w:styleId="UnresolvedMention">
    <w:name w:val="Unresolved Mention"/>
    <w:basedOn w:val="DefaultParagraphFont"/>
    <w:uiPriority w:val="99"/>
    <w:semiHidden/>
    <w:unhideWhenUsed/>
    <w:rsid w:val="00A867BF"/>
    <w:rPr>
      <w:color w:val="605E5C"/>
      <w:shd w:val="clear" w:color="auto" w:fill="E1DFDD"/>
    </w:rPr>
  </w:style>
  <w:style w:type="character" w:styleId="PlaceholderText">
    <w:name w:val="Placeholder Text"/>
    <w:basedOn w:val="DefaultParagraphFont"/>
    <w:uiPriority w:val="99"/>
    <w:semiHidden/>
    <w:rsid w:val="00F82C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4669">
      <w:bodyDiv w:val="1"/>
      <w:marLeft w:val="0"/>
      <w:marRight w:val="0"/>
      <w:marTop w:val="0"/>
      <w:marBottom w:val="0"/>
      <w:divBdr>
        <w:top w:val="none" w:sz="0" w:space="0" w:color="auto"/>
        <w:left w:val="none" w:sz="0" w:space="0" w:color="auto"/>
        <w:bottom w:val="none" w:sz="0" w:space="0" w:color="auto"/>
        <w:right w:val="none" w:sz="0" w:space="0" w:color="auto"/>
      </w:divBdr>
    </w:div>
    <w:div w:id="1323391859">
      <w:bodyDiv w:val="1"/>
      <w:marLeft w:val="0"/>
      <w:marRight w:val="0"/>
      <w:marTop w:val="0"/>
      <w:marBottom w:val="0"/>
      <w:divBdr>
        <w:top w:val="none" w:sz="0" w:space="0" w:color="auto"/>
        <w:left w:val="none" w:sz="0" w:space="0" w:color="auto"/>
        <w:bottom w:val="none" w:sz="0" w:space="0" w:color="auto"/>
        <w:right w:val="none" w:sz="0" w:space="0" w:color="auto"/>
      </w:divBdr>
    </w:div>
    <w:div w:id="1403138850">
      <w:bodyDiv w:val="1"/>
      <w:marLeft w:val="0"/>
      <w:marRight w:val="0"/>
      <w:marTop w:val="0"/>
      <w:marBottom w:val="0"/>
      <w:divBdr>
        <w:top w:val="none" w:sz="0" w:space="0" w:color="auto"/>
        <w:left w:val="none" w:sz="0" w:space="0" w:color="auto"/>
        <w:bottom w:val="none" w:sz="0" w:space="0" w:color="auto"/>
        <w:right w:val="none" w:sz="0" w:space="0" w:color="auto"/>
      </w:divBdr>
      <w:divsChild>
        <w:div w:id="632054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domain.com" TargetMode="External"/><Relationship Id="rId13" Type="http://schemas.openxmlformats.org/officeDocument/2006/relationships/hyperlink" Target="https://normas-apa.org/wp-content/uploads/Guia-Normas-APA-7ma-edicion.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guides.csudh.edu/citation/apa-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mail@domain.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email@domain.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mail@domain.com"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identidad\_Plantilla%20y%20cr&#233;ditos%202022\Plantilla_Congresos_17x24%20%2011_2019.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88630-3658-46F8-AA77-CB284968E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Plantilla_Congresos_17x24  11_2019.dotx</Template>
  <TotalTime>5</TotalTime>
  <Pages>1</Pages>
  <Words>409</Words>
  <Characters>2337</Characters>
  <Application>Microsoft Office Word</Application>
  <DocSecurity>4</DocSecurity>
  <Lines>19</Lines>
  <Paragraphs>5</Paragraphs>
  <ScaleCrop>false</ScaleCrop>
  <HeadingPairs>
    <vt:vector size="2" baseType="variant">
      <vt:variant>
        <vt:lpstr>Título</vt:lpstr>
      </vt:variant>
      <vt:variant>
        <vt:i4>1</vt:i4>
      </vt:variant>
    </vt:vector>
  </HeadingPairs>
  <TitlesOfParts>
    <vt:vector size="1" baseType="lpstr">
      <vt:lpstr>Titular Capítulo</vt:lpstr>
    </vt:vector>
  </TitlesOfParts>
  <Company>UPV</Company>
  <LinksUpToDate>false</LinksUpToDate>
  <CharactersWithSpaces>2741</CharactersWithSpaces>
  <SharedDoc>false</SharedDoc>
  <HLinks>
    <vt:vector size="36" baseType="variant">
      <vt:variant>
        <vt:i4>4653067</vt:i4>
      </vt:variant>
      <vt:variant>
        <vt:i4>15</vt:i4>
      </vt:variant>
      <vt:variant>
        <vt:i4>0</vt:i4>
      </vt:variant>
      <vt:variant>
        <vt:i4>5</vt:i4>
      </vt:variant>
      <vt:variant>
        <vt:lpwstr>https://normas-apa.org/wp-content/uploads/Guia-Normas-APA-7ma-edicion.pdf</vt:lpwstr>
      </vt:variant>
      <vt:variant>
        <vt:lpwstr/>
      </vt:variant>
      <vt:variant>
        <vt:i4>7798844</vt:i4>
      </vt:variant>
      <vt:variant>
        <vt:i4>12</vt:i4>
      </vt:variant>
      <vt:variant>
        <vt:i4>0</vt:i4>
      </vt:variant>
      <vt:variant>
        <vt:i4>5</vt:i4>
      </vt:variant>
      <vt:variant>
        <vt:lpwstr>https://libguides.csudh.edu/citation/apa-7</vt:lpwstr>
      </vt:variant>
      <vt:variant>
        <vt:lpwstr/>
      </vt:variant>
      <vt:variant>
        <vt:i4>2818061</vt:i4>
      </vt:variant>
      <vt:variant>
        <vt:i4>9</vt:i4>
      </vt:variant>
      <vt:variant>
        <vt:i4>0</vt:i4>
      </vt:variant>
      <vt:variant>
        <vt:i4>5</vt:i4>
      </vt:variant>
      <vt:variant>
        <vt:lpwstr>mailto:email@domain.com</vt:lpwstr>
      </vt:variant>
      <vt:variant>
        <vt:lpwstr/>
      </vt:variant>
      <vt:variant>
        <vt:i4>2818061</vt:i4>
      </vt:variant>
      <vt:variant>
        <vt:i4>6</vt:i4>
      </vt:variant>
      <vt:variant>
        <vt:i4>0</vt:i4>
      </vt:variant>
      <vt:variant>
        <vt:i4>5</vt:i4>
      </vt:variant>
      <vt:variant>
        <vt:lpwstr>mailto:email@domain.com</vt:lpwstr>
      </vt:variant>
      <vt:variant>
        <vt:lpwstr/>
      </vt:variant>
      <vt:variant>
        <vt:i4>2818061</vt:i4>
      </vt:variant>
      <vt:variant>
        <vt:i4>3</vt:i4>
      </vt:variant>
      <vt:variant>
        <vt:i4>0</vt:i4>
      </vt:variant>
      <vt:variant>
        <vt:i4>5</vt:i4>
      </vt:variant>
      <vt:variant>
        <vt:lpwstr>mailto:email@domain.com</vt:lpwstr>
      </vt:variant>
      <vt:variant>
        <vt:lpwstr/>
      </vt:variant>
      <vt:variant>
        <vt:i4>2818061</vt:i4>
      </vt:variant>
      <vt:variant>
        <vt:i4>0</vt:i4>
      </vt:variant>
      <vt:variant>
        <vt:i4>0</vt:i4>
      </vt:variant>
      <vt:variant>
        <vt:i4>5</vt:i4>
      </vt:variant>
      <vt:variant>
        <vt:lpwstr>mailto:email@domain.com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Profiles Under a Common Prudential Framework: Evidence from Brazilian Credit Cooperatives and Banks</dc:title>
  <dc:subject/>
  <dc:creator>Nery, Victorino and Rangel</dc:creator>
  <cp:keywords/>
  <cp:lastModifiedBy>Erasmo Isidro Lopez Becerra</cp:lastModifiedBy>
  <cp:revision>9</cp:revision>
  <cp:lastPrinted>2021-05-05T19:12:00Z</cp:lastPrinted>
  <dcterms:created xsi:type="dcterms:W3CDTF">2026-05-12T02:27:00Z</dcterms:created>
  <dcterms:modified xsi:type="dcterms:W3CDTF">2026-05-12T14:00:00Z</dcterms:modified>
</cp:coreProperties>
</file>