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ask whether the cooperative form still leaves a distinct imprint on the balance sheet. The data are a quarterly panel of every full-methodology institution from 2017 to 2024: 130 singular credit cooperatives and 144 banks. Eleven balance-sheet and performance measures are related to a cooperative dummy, controlling for size and time, on a matched sample and across five comparison groups. Three results emerge. First, at comparable size cooperatives lend a larger share of their assets than banks nationally, operate at lower cost and show steadier returns. Before tax the typical cooperative earns more than a comparable bank, though the mean gap is not established; after tax it retains about two percentage points more, of which the tax exemption explains about two fifths. Second, capital differs modestly in level and markedly in dispersion. The mean gap comes from small banks with capital ratios above fifty percent and roughly halves against deposit-funded banks; among thinly capitalised institutions, cooperatives hold more capital than banks and provision no less. Third, two differences often reported, lower provisioning and narrower margins, disappear once the comparison group is restricted to banks. Whether these differences bear on the territorial role of cooperative lenders is the claim the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Whether a prudential benchmark calibrated on an average institution that barely lends measures them against a standard drawn from a different kind of institution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One reading of the prudential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Organisational form and network membership are then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The window includes the pandemic years; quarter fixed effects absorb the common shock, and the pre-2022 subperiod that contains them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stops short of a rung defined on lending, since credit intensity is an outcome and selecting peers on it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(Lei 4.595/1964),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on our design with six treated clusters (online appendix), the clustered test over-rejects at both conventional levels, while the bootstrap is conservative at one percent and still over-rejects at five. The few-cluster problem concerns the system splits, which report their treated cluster counts; the main comparison rests on about 130 treated clusters, where the two agree.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r>
        <w:rPr>
          <w:rStyle w:val="FootnoteReference"/>
        </w:rPr>
        <w:footnoteReference w:id="1"/>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Their retention ratios are above one, except for the after-tax return, which keeps most of its raw value; a size-composition artefact would shrink as size is held more tightly.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is positive through the median and significantly negative only in the top decile (Table 3), so a high-earning bank upper tail pulls the mean towards zero, as it does for capital below. The typical cooperative thus earns more than a comparable bank before tax, on an intermediation margin indistinguishable from the banks', while the mean gap is not established across specifications.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and under controls about seven times the conditional median. Figure 4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6).</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5).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so this comparison probably understates the gap: before tax, the z-score differential is larger and the median gap in return volatility nearly doubles, while the mean volatility differential is smaller, and both keep their sign and significance (Table A11 of the online appendix). Together with the profitability results, cooperatives earn steadier returns on the same intermediation margin and retain more of them.</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5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where supervisory concern attaches, no tercile shows cooperatives provisioning less: the differential is positive and significant only in the middle tercile on the unconditional ratio, and no tercile differs on the residualised ratio. Because minimum provisions are a step function of the AA to H rating of each operation, the result most likely describes how the two groups classify their books.</w:t>
      </w:r>
      <w:r>
        <w:rPr>
          <w:rStyle w:val="FootnoteReference"/>
        </w:rPr>
        <w:footnoteReference w:id="2"/>
      </w:r>
    </w:p>
    <w:p>
      <w:pPr>
        <w:jc w:val="both"/>
      </w:pPr>
      <w:r>
        <w:t xml:space="preserve">The intermediation margin behaves in the same way: large and highly significant against the broad group, small and insignificant against banks, and positive and significant against structural banks, so its sign depends on the comparison group and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sector-wide and within-market,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A network-level aggregation is beyond IF.data, which ties a singular to its system but not to its central, but the asymmetry can be bounded. At the end of 2024 the centrals held about a quarter of the singulars' assets, mostly the singulars' own centralised deposits, but about six percent of their regulatory capital and about a tenth of their administrative and personnel expenses, and the fees a singular pays its central are booked as its own expenses. Consolidation would therefore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marginally less profitable and marginally leaner. Selection therefore likely biases the credit and profitability estimates towards zero and the efficiency estimate marginally away from it.</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Under the same prudential rules, the largest credit cooperatives lend a larger share of their assets than banks of the same size, run at lower cost and post steadier returns. Before tax the typical cooperative earns somewhat more than a comparable bank, although the average gap depends on the specification; after tax it keeps about two percentage points more, of which the tax exemption explains about two fifths, and what it keeps is the only capital it can build. Their capital ratios sit in a narrow band: below the bank average, which a few small and heavily capitalised banks pull up, and above comparable banks at the thin end of the distribution, where supervisors look. Two often-cited differences, lower provisioning and thinner margins, vanish once cooperatives are compared with banks alone. For supervisors, this argues for a benchmark calibrated on lending institutions and for reading the whole distribution as well as the mean.</w:t>
      </w:r>
    </w:p>
    <w:p>
      <w:pPr>
        <w:jc w:val="both"/>
      </w:pPr>
      <w:r>
        <w:t xml:space="preserve">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appears before tax, at the median though not at the mean, on an intermediation margin indistinguishable from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against the national bank population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https://doi.org/10.5700/rausp1011</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gaps concentrate among the low-credit institutions the ladder removes and in 2023, when bank coverage falls to about two thirds.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