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Theory gives reasons to expect a distinct profile. Cooperative capital is an endowment of retained earnings accumulated across member generations, which outside voting equity cannot top up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Eight quarterly outcomes cover the Basel capital ratio, leverage, return on assets,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show lower return volatility and a higher z-score, and earn an after-tax return on assets about two percentage points higher. Their intermediation margin is indistinguishable from that of banks, so the higher return comes from lending volume and cost. A substantial part of it is tax: cooperative acts are exempt from income tax and social contribution, and re-estimated on the pre-tax result the return gap is about three fifths of its after-tax size and is not established on the common-support sample.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 solid return on spreads similar to those of banks and sits in a narrow band of the capital distribution. The results agree with Hesse and Čihák (2007) on lower capitalisation and lower return volatility and differ on profitability, which is higher after tax in this population; the tax exemption explains part of that gap and narrows the disagreement.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states how cumulative flows were converted to rates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public guarantee still apply. For the cooperative movement, a case resting on cost and return stability holds against every definition of a bank we tried, and one resting on the return on assets holds after tax.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