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We use this setting to ask whether the cooperative form retains distinct balance-sheet characteristics. Using a quarterly panel of every full-methodology institution from 2017 to 2024, 130 singular credit cooperatives and 144 banks, we relate ten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show lower return volatility and earn a higher return on assets after tax, a gap that the tax exemption of cooperative acts explains in substantial part and that is unestablished before tax.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w:t>
      </w:r>
      <w:r>
        <w:rPr>
          <w:rStyle w:val="FootnoteReference"/>
        </w:rPr>
        <w:footnoteReference w:id="1"/>
      </w:r>
      <w:r>
        <w:t xml:space="preserv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since its expected-loss successor took effect only in 2025 (Conselho Monetário Nacional, 1999, 2021c).</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barely lends, it measures cooperatives against a standard drawn from a different kind of institution. Whether it does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Castro Carvalho et al., 2017). Where supervisors adapt the framework to cooperatives, the adaptation concerns member shares and network arrangements (Coelho et al., 2019). Responsive regulation (Ayres &amp; Braithwaite, 1992; Baldwin &amp; Black, 2008) treats the structure of the regulated industry and the motivations of its firms as inputs to how a regime engages them. Organisational form and network membership then become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and separate sector-wide differences from differences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return on assets, while the cost discipline of a focused retail model would raise it, and the tax exemption of cooperative acts raises the after-tax return mechanically, so we examine the return before tax as well.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Each source is deduplicated on the institution-quarter key before merging,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Of the banks, 87 report as consolidations and 57 individually, and some switch within the window. All cooperatives report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both </w:t>
      </w:r>
      <w:r>
        <w:rPr>
          <w:rFonts w:ascii="Consolas" w:hAnsi="Consolas" w:cs="Consolas"/>
        </w:rPr>
        <w:t xml:space="preserve">b1</w:t>
      </w:r>
      <w:r>
        <w:t xml:space="preserve"> commercial banks,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eight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the cooperatives dropped are late entrants to the full methodology.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jc w:val="both"/>
      </w:pPr>
      <w:r>
        <w:t xml:space="preserve">Return on assets uses line (</w:t>
      </w:r>
      <w:r>
        <w:rPr>
          <w:i/>
          <w:iCs/>
        </w:rPr>
        <w:t xml:space="preserve">j</w:t>
      </w:r>
      <w:r>
        <w:t xml:space="preserve">), net income after income tax, social contribution and profit sharing. For a cooperative this is the surplus before its allocation to reserves and to interest on member capital, which line (</w:t>
      </w:r>
      <w:r>
        <w:rPr>
          <w:i/>
          <w:iCs/>
        </w:rPr>
        <w:t xml:space="preserve">k</w:t>
      </w:r>
      <w:r>
        <w:t xml:space="preserve">) reports separately. Because cooperative acts are exempt from both taxes, Section 4 re-estimates the return on the pre-tax result, line (</w:t>
      </w:r>
      <w:r>
        <w:rPr>
          <w:i/>
          <w:iCs/>
        </w:rPr>
        <w:t xml:space="preserve">g</w:t>
      </w:r>
      <w:r>
        <w:t xml:space="preserve">).</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so it is collinear with any institution fixed effect. The estimates are therefore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 a magnitude that holds across the distribution,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2"/>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eight quarterly outcomes keep their sign and significance across all four specifications and every winsorisation rule, including no winsorisation, and so do both stability outcomes. Their retention ratios are above one, except for return on assets, which keeps most of its raw value; a size-composition artefact would shrink as size is held more tightly, although the ratio is only descriptive. By the rule of Section 3.4, credit intensity and return on assets are stable among the quarterly outcomes, capital, leverage and cost-to-income are stable in sign, and provisioning, the margin and funding are null; return volatility and the z-score are both stable. The capital coefficient calls for care: under controls its conditional mean is about seven times its conditional median, because the mean mostly reflects the upper tail of the bank distribution, as we show below.</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 Cooperatives also earn a higher return on assets, by about two percentage points under controls and somewhat less at the conditional median, a large gap by the standards of the banking literature. Their intermediation margin is indistinguishable from that of banks, so the higher return appears to come from lending volume and lower cost.</w:t>
      </w:r>
    </w:p>
    <w:p>
      <w:pPr>
        <w:jc w:val="both"/>
      </w:pPr>
      <w:r>
        <w:t xml:space="preserve">Part of the return gap is tax. Among quarters with a positive pre-tax result, the median effective rate of income tax and social contribution is about a third for banks and close to zero for cooperatives. Re-estimated on the pre-tax result, the controlled differential is about three fifths of the after-tax figure and remains significant under the bootstrap, and the conditional median keeps about five sixths of its value, but the coefficient is marginal on the matched sample and indistinguishable from zero on common support (Table A11 of the online appendix). By the rule of Section 3.4 the pre-tax differential is not established. Table 2 keeps the after-tax measure, the return that accumulates as capital, and we read the profitability result as a difference after tax. Taxes also compress the after-tax volatility of bank returns, so the after-tax comparison probably understates the stability gap. Before tax, the z-score differential is larger and the median gap in return volatility nearly doubles; the mean volatility differential is smaller, and both keep their sign and significance (Table A12 of the online appendix).</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and the shaded bands of Figure 6 show the same contrast in every quarter.</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0.152]</w:t>
            </w:r>
          </w:p>
        </w:tc>
        <w:tc>
          <w:tcPr>
            <w:tcW w:w="1016" w:type="dxa"/>
          </w:tcPr>
          <w:p>
            <w:pPr>
              <w:spacing w:before="20" w:after="20" w:line="240" w:lineRule="auto"/>
              <w:jc w:val="right"/>
            </w:pPr>
            <w:r>
              <w:rPr>
                <w:sz w:val="15"/>
                <w:szCs w:val="15"/>
              </w:rPr>
              <w:t xml:space="preserve">[-0.057, 0.053]</w:t>
            </w:r>
          </w:p>
        </w:tc>
        <w:tc>
          <w:tcPr>
            <w:tcW w:w="1016" w:type="dxa"/>
          </w:tcPr>
          <w:p>
            <w:pPr>
              <w:spacing w:before="20" w:after="20" w:line="240" w:lineRule="auto"/>
              <w:jc w:val="right"/>
            </w:pPr>
            <w:r>
              <w:rPr>
                <w:sz w:val="15"/>
                <w:szCs w:val="15"/>
              </w:rPr>
              <w:t xml:space="preserve">[-0.277, -0.099]</w:t>
            </w:r>
          </w:p>
        </w:tc>
        <w:tc>
          <w:tcPr>
            <w:tcW w:w="1016" w:type="dxa"/>
          </w:tcPr>
          <w:p>
            <w:pPr>
              <w:spacing w:before="20" w:after="20" w:line="240" w:lineRule="auto"/>
              <w:jc w:val="right"/>
            </w:pPr>
            <w:r>
              <w:rPr>
                <w:sz w:val="15"/>
                <w:szCs w:val="15"/>
              </w:rPr>
              <w:t xml:space="preserve">[-0.882, -0.476]</w:t>
            </w:r>
          </w:p>
        </w:tc>
        <w:tc>
          <w:tcPr>
            <w:tcW w:w="1016" w:type="dxa"/>
          </w:tcPr>
          <w:p>
            <w:pPr>
              <w:spacing w:before="20" w:after="20" w:line="240" w:lineRule="auto"/>
              <w:jc w:val="right"/>
            </w:pPr>
            <w:r>
              <w:rPr>
                <w:sz w:val="15"/>
                <w:szCs w:val="15"/>
              </w:rPr>
              <w:t xml:space="preserve">[-2.609, -1.147]</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[0.342, 0.429]</w:t>
            </w:r>
          </w:p>
        </w:tc>
        <w:tc>
          <w:tcPr>
            <w:tcW w:w="1016" w:type="dxa"/>
          </w:tcPr>
          <w:p>
            <w:pPr>
              <w:spacing w:before="20" w:after="20" w:line="240" w:lineRule="auto"/>
              <w:jc w:val="right"/>
            </w:pPr>
            <w:r>
              <w:rPr>
                <w:sz w:val="15"/>
                <w:szCs w:val="15"/>
              </w:rPr>
              <w:t xml:space="preserve">[0.361, 0.467]</w:t>
            </w:r>
          </w:p>
        </w:tc>
        <w:tc>
          <w:tcPr>
            <w:tcW w:w="1016" w:type="dxa"/>
          </w:tcPr>
          <w:p>
            <w:pPr>
              <w:spacing w:before="20" w:after="20" w:line="240" w:lineRule="auto"/>
              <w:jc w:val="right"/>
            </w:pPr>
            <w:r>
              <w:rPr>
                <w:sz w:val="15"/>
                <w:szCs w:val="15"/>
              </w:rPr>
              <w:t xml:space="preserve">[0.137, 0.353]</w:t>
            </w:r>
          </w:p>
        </w:tc>
        <w:tc>
          <w:tcPr>
            <w:tcW w:w="1016" w:type="dxa"/>
          </w:tcPr>
          <w:p>
            <w:pPr>
              <w:spacing w:before="20" w:after="20" w:line="240" w:lineRule="auto"/>
              <w:jc w:val="right"/>
            </w:pPr>
            <w:r>
              <w:rPr>
                <w:sz w:val="15"/>
                <w:szCs w:val="15"/>
              </w:rPr>
              <w:t xml:space="preserve">[-0.100, 0.068]</w:t>
            </w:r>
          </w:p>
        </w:tc>
        <w:tc>
          <w:tcPr>
            <w:tcW w:w="1016" w:type="dxa"/>
          </w:tcPr>
          <w:p>
            <w:pPr>
              <w:spacing w:before="20" w:after="20" w:line="240" w:lineRule="auto"/>
              <w:jc w:val="right"/>
            </w:pPr>
            <w:r>
              <w:rPr>
                <w:sz w:val="15"/>
                <w:szCs w:val="15"/>
              </w:rPr>
              <w:t xml:space="preserve">[-0.219, -0.108]</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[0.016, 0.029]</w:t>
            </w:r>
          </w:p>
        </w:tc>
        <w:tc>
          <w:tcPr>
            <w:tcW w:w="1016" w:type="dxa"/>
            <w:tcBorders>
              <w:bottom w:val="single" w:sz="8" w:space="0" w:color="auto"/>
            </w:tcBorders>
          </w:tcPr>
          <w:p>
            <w:pPr>
              <w:spacing w:before="20" w:after="20" w:line="240" w:lineRule="auto"/>
              <w:jc w:val="right"/>
            </w:pPr>
            <w:r>
              <w:rPr>
                <w:sz w:val="15"/>
                <w:szCs w:val="15"/>
              </w:rPr>
              <w:t xml:space="preserve">[-0.017, 0.018]</w:t>
            </w:r>
          </w:p>
        </w:tc>
        <w:tc>
          <w:tcPr>
            <w:tcW w:w="1016" w:type="dxa"/>
            <w:tcBorders>
              <w:bottom w:val="single" w:sz="8" w:space="0" w:color="auto"/>
            </w:tcBorders>
          </w:tcPr>
          <w:p>
            <w:pPr>
              <w:spacing w:before="20" w:after="20" w:line="240" w:lineRule="auto"/>
              <w:jc w:val="right"/>
            </w:pPr>
            <w:r>
              <w:rPr>
                <w:sz w:val="15"/>
                <w:szCs w:val="15"/>
              </w:rPr>
              <w:t xml:space="preserve">[-0.093, -0.015]</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The tail is thus concentrated among small standalone banks with little risk-weighted exposure, and against deposit-taking banks the capital difference consists of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return on assets, so for those two the mean describes the typical institution.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Because the two measures share the standard deviation of return on assets, we treat them as one result, with volatility as the primary measure. Together with the return on assets result, this means that cooperatives earn higher after-tax and less volatile returns on the same intermediation margin.</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Return on assets, cost-to-income and return volatility survive on every rung; credit intensity survives on the four national rungs and not within region (Section 4.3).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4901884"/>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4901884"/>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Supervisory concern attaches to capital, so we also split the sample into terciles of the Basel ratio. No tercile shows cooperatives provisioning less: on the unconditional ratio the differential is positive and significant only in the middle tercile, where most cooperative quarters sit, and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3"/>
      </w:r>
    </w:p>
    <w:p>
      <w:pPr>
        <w:jc w:val="both"/>
      </w:pPr>
      <w:r>
        <w:t xml:space="preserve">The intermediation margin behaves in the same way. It is large and highly significant against the broad group, whose non-banking members report intermediation margins several times those of banks and cooperatives relative to assets.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Cooperatives thus lend more than the national bank population, while within regional markets the difference is indistinguishable from zero. However, which estimate is the parameter of interest depends on an assumption we cannot test. If cooperatives concentrate where they do for reasons internal to member-based finance, region is a mediator and the size-only estimate is the parameter. If regional market structure is heterogeneity unrelated to form, region is a confounder and credit intensity is a null. We report the two as distinct parameters, the sector-wide and the within-market differential, and label every claim by the comparison it rests on.</w:t>
      </w:r>
    </w:p>
    <w:p>
      <w:pPr>
        <w:jc w:val="both"/>
      </w:pPr>
      <w:r>
        <w:t xml:space="preserve">One caution applies. With an effective control sample of eighteen, the within-market null may reflect low power as much as the parameter itself (Figure 5 shows the intervals). Return volatility survives the within-region comparison, while the z-score, which shares its denominator,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administrative expenses. Consolidating the centrals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and marginally less profitable, which runs against our findings. They were also marginally leaner, which runs with them. As a result, selection likely biases the credit and profitability estimates towards zero and, if anything,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 All results come from one script run on the public IF.data files, with every comparison group, coarsening, winsorisation rule and check as a parameter, and the tables are generated from its output.</w:t>
      </w:r>
    </w:p>
    <w:p>
      <w:pPr>
        <w:pStyle w:val="Heading1"/>
        <w:keepNext/>
        <w:keepLines/>
        <w:numPr>
          <w:ilvl w:val="0"/>
          <w:numId w:val="0"/>
        </w:numPr>
        <w:spacing w:before="240" w:after="120"/>
        <w:ind w:left="0" w:firstLine="0"/>
      </w:pPr>
      <w:r>
        <w:t xml:space="preserve">5 Discussion</w:t>
      </w:r>
    </w:p>
    <w:p>
      <w:pPr>
        <w:jc w:val="both"/>
      </w:pPr>
      <w:r>
        <w:t xml:space="preserve">0.97</w:t>
      </w:r>
      <w:r>
        <w:rPr>
          <w:b/>
          <w:bCs/>
        </w:rPr>
        <w:t xml:space="preserve">In plain terms.</w:t>
      </w:r>
      <w:r>
        <w:t xml:space="preserve"> Under the same prudential rules, the largest credit cooperatives lend a larger share of their assets than banks of the same size, run at lower cost and post steadier returns; their after-tax return is higher, in substantial part because cooperative acts are untaxed.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two fit together once the source of capital is considered.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cooperatives are more profitable after tax and less volatile, on margins indistinguishable from those of banks. Part of the profitability gap is the tax exemption of cooperative acts, and before tax the gap is smaller and not established, which narrows the disagreement. The rest may reflect our population, which is restricted to the largest cooperatives and to a common prudential methodology.</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while the finding that they provision more holds only in the middle of the capital distribution.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first is the comparison group, which as “all non-cooperatives” imports some 160 institutions that neither lend nor raise funds. The second and third are reading IF.data income fields as quarterly flows and estimating the matched comparison by unweighted OLS on the matched sample. Some of the disagreements in the literature may reflect different comparison groups.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the adoption of the full methodology fails to identify a regime effect: adoption follows growth, which moves every balance-sheet ratio continuously,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Because the evidence is descriptive, we frame both as questions. The first is organisational architecture, since the capital differential is a property of the two large networks. Brazil already treats the cooperative sector as a unit for deposit insurance through the FGCoop. If the backstop hypothesis is right, a proportional framework might also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the return on assets holds after tax, and before tax the gap is smaller and unestablished.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Ayres, I., &amp; Braithwaite, J. (1992). </w:t>
      </w:r>
      <w:r>
        <w:rPr>
          <w:i/>
          <w:iCs/>
          <w:sz w:val="18"/>
          <w:szCs w:val="18"/>
        </w:rPr>
        <w:t xml:space="preserve">Responsive regulation: Transcending the deregulation debate</w:t>
      </w:r>
      <w:r>
        <w:rPr>
          <w:sz w:val="18"/>
          <w:szCs w:val="18"/>
        </w:rPr>
        <w:t xml:space="preserve">. Oxford University Press.</w:t>
      </w:r>
    </w:p>
    <w:p>
      <w:pPr>
        <w:pStyle w:val="ReferenciasBibliogrficas"/>
        <w:spacing w:after="60" w:line="240" w:lineRule="auto"/>
        <w:jc w:val="left"/>
      </w:pPr>
      <w:r>
        <w:rPr>
          <w:sz w:val="18"/>
          <w:szCs w:val="18"/>
        </w:rPr>
        <w:t xml:space="preserve">Baldwin, R., &amp; Black, J. (2008). Really responsive regulation. </w:t>
      </w:r>
      <w:r>
        <w:rPr>
          <w:i/>
          <w:iCs/>
          <w:sz w:val="18"/>
          <w:szCs w:val="18"/>
        </w:rPr>
        <w:t xml:space="preserve">Modern Law Review</w:t>
      </w:r>
      <w:r>
        <w:rPr>
          <w:sz w:val="18"/>
          <w:szCs w:val="18"/>
        </w:rPr>
        <w:t xml:space="preserve">, </w:t>
      </w:r>
      <w:r>
        <w:rPr>
          <w:i/>
          <w:iCs/>
          <w:sz w:val="18"/>
          <w:szCs w:val="18"/>
        </w:rPr>
        <w:t xml:space="preserve">71</w:t>
      </w:r>
      <w:r>
        <w:rPr>
          <w:sz w:val="18"/>
          <w:szCs w:val="18"/>
        </w:rPr>
        <w:t xml:space="preserve">(1), 59–94. https://doi.org/10.1111/j.1468-2230.2008.00681.x</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Castro Carvalho, A. P., Hohl, S., Raskopf, R., &amp; Ruhnau, S. (2017). </w:t>
      </w:r>
      <w:r>
        <w:rPr>
          <w:i/>
          <w:iCs/>
          <w:sz w:val="18"/>
          <w:szCs w:val="18"/>
        </w:rPr>
        <w:t xml:space="preserve">Proportionality in banking regulation: A cross-country comparison</w:t>
      </w:r>
      <w:r>
        <w:rPr>
          <w:sz w:val="18"/>
          <w:szCs w:val="18"/>
        </w:rPr>
        <w:t xml:space="preserve"> (FSI Insights on Policy Implementation No. 1). Bank for International Settlements, Financial Stability Institute. </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(2021c). </w:t>
      </w:r>
      <w:r>
        <w:rPr>
          <w:i/>
          <w:iCs/>
          <w:sz w:val="18"/>
          <w:szCs w:val="18"/>
        </w:rPr>
        <w:t xml:space="preserve">Resolução nº 4.966, de 25 de novembro de 2021. Conceitos e critérios contábeis aplicáveis a instrumentos financeiros e provisão para perdas esperadas</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segment label is revised semiannually, so five full-methodology cooperative-quarters still carry the S5 label in transition. The sample follows the reported methodology.</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3">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missing bank-quarters are concentrated among the low-credit institutions the ladder is designed to remove, and in 2023, when coverage falls to about two thirds for banks.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