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the mean gap is significant in only two of four specifications, pulled towards zero by a high-earning bank upper tail, and is therefore null by the rule. After tax cooperatives retain about two percentage points more, a stable result. The pre-tax gap under controls is three fifths of the after-tax one, so the tax exemption of cooperative acts accounts for about two fifths.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