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spacing w:after="120"/>
        <w:jc w:val="center"/>
      </w:pPr>
      <w:r>
        <w:rPr>
          <w:i/>
          <w:iCs/>
        </w:rPr>
        <w:t xml:space="preserve">Award category: </w:t>
      </w:r>
      <w:r>
        <w:t xml:space="preserve">Best Young and Emerging Scholar Paper</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the cooperatives and banks under the full methodology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After tax they retain about two percentage points more of their return, of which the tax exemption explains about two fifths; before tax the typical cooperative still earns more, though the mean gap is not established. Second, capital differs modestly in level and markedly in dispersion. The mean gap comes from small banks with capital ratios above fifty percent and roughly halves against deposit-funded banks; in the lower part of the capital distribution, cooperatives hold more capital than banks at the same quantile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their share has risen in every year since 2020 (Banco Central do Brasil, 2025). Much of the sector belongs to integrated systems in which central cooperatives supply liquidity facilities, consolidated risk management and a single supervisory interface to their affiliates.</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The current European debate on simpler rules for smaller banks keeps to the same criteria: a German supervisory proposal reviewed by Berg and Geeroms (2026) would let small, non-complex banks, the savings and cooperative banks among them, opt out of the Basel-based requirements, which the authors support only with conservative calibration and safeguards against risk-taking.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Beck et al. (2009) reach a similar conclusion for German banks under one supervisory regime, where cooperative banks are farther from insolvency than both privately owned and savings banks. Ayadi et al. (2010), Iannotta et al. (2007) and Groeneveld (2020) document the performance, risk and persistent distinctiveness of European cooperative banks, and Becchetti et al. (2016) and Ferri et al. (2014) show that ownership shapes lending.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More recently, Silva et al. (2023) relate the performance of the credit unions in segment S4 to PEARLS indicators and find net lending positively associated with profitability and equity growth; they propose a comparison with the banks of the same segment, which this paper makes. Cavinato and Capitani (2023) show that the social efficiency of rural credit cooperatives differs across regions. None compares cooperatives with banks under a common prudential methodology, the setting used here.</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has no rung defined on lending, since selecting peers on an outcome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the provision line (</w:t>
      </w:r>
      <w:r>
        <w:rPr>
          <w:i/>
          <w:iCs/>
        </w:rPr>
        <w:t xml:space="preserve">b</w:t>
      </w:r>
      <w:r>
        <w:t xml:space="preserve">5),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with six treated clusters, the size of the smallest system split (online appendix), the clustered test over-rejects and the bootstrap is conservative at one percent; the problem concerns the system splits, while the main comparison rests on about 130 treated clusters, where the two agree. Quantile coefficients carry intervals from an institution bootstrap. Several outcomes are right-skewed, so we report the conditional median alongside the conditional mean, under one rule for every outcome: tiers are assigned on the conditional means alone, and when the quantile profile shows one tail driving the mean, as for capital, cost-to-income and the pre-tax return, the magnitude is read at the median while the tier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jc w:val="both"/>
      </w:pPr>
      <w:r>
        <w:t xml:space="preserve">Three statements summarise what follows.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banks at the same quantile at the thin end of the distribution, where supervisors look. Third, two often-cited differences, lower provisioning and thinner margins, vanish once cooperatives are compared with banks alone.</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turns negative only in the top decile (Table 3), where a high-earning bank tail pulls the mean towards zero. The typical cooperative thus earns more than a comparable bank before tax, while the mean gap is not established.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4). Yet the size-controlled mean differential is large and negative in every column of Table 2, and under controls about seven times the conditional median. Figure 5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4).</w:t>
      </w:r>
    </w:p>
    <w:p>
      <w:pPr>
        <w:keepNext/>
        <w:keepLines/>
        <w:spacing w:before="120" w:after="60"/>
        <w:jc w:val="center"/>
      </w:pPr>
      <w:r>
        <w:drawing>
          <wp:inline distT="0" distB="0" distL="0" distR="0">
            <wp:extent cx="4824730" cy="3190795"/>
            <wp:docPr id="104"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4"/>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4. </w:t>
      </w:r>
      <w:r>
        <w:t xml:space="preserve">Medians and interquartile ranges, 2017 to 2024</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6).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5"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5"/>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5.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and before tax both measures keep their sign and significance, with the median volatility gap nearly doubling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6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6"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6"/>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6.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no tercile shows cooperatives provisioning less.</w:t>
      </w:r>
    </w:p>
    <w:p>
      <w:pPr>
        <w:jc w:val="both"/>
      </w:pPr>
      <w:r>
        <w:t xml:space="preserve">The intermediation margin behaves in the same way: large and highly significant against the broad group, small and insignificant against banks, positive and significant against structural banks, and positive at the conditional median, so its sign depends on the comparison group and on the statistic and we keep it as a null. The funding ratio is significant in one specification only and is left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one of which belongs to Cresol, so the split describes those two networks; a test of network affiliation as such is beyond it. Cooperatives in both networks hold less regulatory capital than comparable banks, significant under the bootstrap in each. The six independents contribute five treated clusters, since one lacks the outcome,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cooperatives are observed under the simplified methodology before adopting the full one; we compare them with cooperatives that never adopt, on pre-adoption quarters only,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dropping the sector's two cooperative-owned banks and dropping the six cooperatives that revert to the simplified methodology leave every surviving sign unchanged.</w:t>
      </w:r>
    </w:p>
    <w:p>
      <w:pPr>
        <w:pStyle w:val="Heading1"/>
        <w:keepNext/>
        <w:keepLines/>
        <w:numPr>
          <w:ilvl w:val="0"/>
          <w:numId w:val="0"/>
        </w:numPr>
        <w:spacing w:before="240" w:after="120"/>
        <w:ind w:left="0" w:firstLine="0"/>
      </w:pPr>
      <w:r>
        <w:t xml:space="preserve">5 Discussion</w:t>
      </w:r>
    </w:p>
    <w:p>
      <w:pPr>
        <w:jc w:val="both"/>
      </w:pPr>
      <w:r>
        <w:t xml:space="preserve">The surviving results describe a focused retail lender, consistent with a member-service orientation in which capital accumulation is a means to member credit (Fonteyne, 2007). For supervisors, the findings suggest a benchmark calibrated on lending institutions and a reading of the whole distribution as well as the mean.</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the panel is unbalanced, an institution that is incorporated or closes leaves it at its last reported quarter, and institutions with fewer than eight quarters are absent from that subsample.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since the social efficiency of rural cooperatives differs across regions (Cavinato &amp; Capitani, 2023).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cooperatives and banks under the full methodology.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that does not differ at the mean.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nationally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Beck, T., Hesse, H., Kick, T., &amp; von Westernhagen, N. (2009). </w:t>
      </w:r>
      <w:r>
        <w:rPr>
          <w:i/>
          <w:iCs/>
          <w:sz w:val="18"/>
          <w:szCs w:val="18"/>
        </w:rPr>
        <w:t xml:space="preserve">Bank ownership and stability: Evidence from Germany</w:t>
      </w:r>
      <w:r>
        <w:rPr>
          <w:sz w:val="18"/>
          <w:szCs w:val="18"/>
        </w:rPr>
        <w:t xml:space="preserve"> [Working paper]. Deutsche Bundesbank.</w:t>
      </w:r>
    </w:p>
    <w:p>
      <w:pPr>
        <w:pStyle w:val="ReferenciasBibliogrficas"/>
        <w:spacing w:after="60" w:line="240" w:lineRule="auto"/>
        <w:jc w:val="left"/>
      </w:pPr>
      <w:r>
        <w:rPr>
          <w:sz w:val="18"/>
          <w:szCs w:val="18"/>
        </w:rPr>
        <w:t xml:space="preserve">Berg, J., &amp; Geeroms, H. (2026). </w:t>
      </w:r>
      <w:r>
        <w:rPr>
          <w:i/>
          <w:iCs/>
          <w:sz w:val="18"/>
          <w:szCs w:val="18"/>
        </w:rPr>
        <w:t xml:space="preserve">Calls for EU financial-rule simplification should not spill over into lower standards</w:t>
      </w:r>
      <w:r>
        <w:rPr>
          <w:sz w:val="18"/>
          <w:szCs w:val="18"/>
        </w:rPr>
        <w:t xml:space="preserve">. Bruegel Analysis 21/2026. https://doi.org/10.64153/SSLG8909</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Cavinato, N. R., &amp; Capitani, D. H. D. (2023). Eficiência social das cooperativas de crédito rural no Brasil: uma análise sob a ótica regional. </w:t>
      </w:r>
      <w:r>
        <w:rPr>
          <w:i/>
          <w:iCs/>
          <w:sz w:val="18"/>
          <w:szCs w:val="18"/>
        </w:rPr>
        <w:t xml:space="preserve">Economia e Sociedade</w:t>
      </w:r>
      <w:r>
        <w:rPr>
          <w:sz w:val="18"/>
          <w:szCs w:val="18"/>
        </w:rPr>
        <w:t xml:space="preserve">, </w:t>
      </w:r>
      <w:r>
        <w:rPr>
          <w:i/>
          <w:iCs/>
          <w:sz w:val="18"/>
          <w:szCs w:val="18"/>
        </w:rPr>
        <w:t xml:space="preserve">32</w:t>
      </w:r>
      <w:r>
        <w:rPr>
          <w:sz w:val="18"/>
          <w:szCs w:val="18"/>
        </w:rPr>
        <w:t xml:space="preserve">(2), 429–455. https://doi.org/10.1590/1982-3533.2023v32n2art08</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p>
      <w:pPr>
        <w:pStyle w:val="ReferenciasBibliogrficas"/>
        <w:spacing w:after="60" w:line="240" w:lineRule="auto"/>
        <w:jc w:val="left"/>
      </w:pPr>
      <w:r>
        <w:rPr>
          <w:sz w:val="18"/>
          <w:szCs w:val="18"/>
        </w:rPr>
        <w:t xml:space="preserve">Silva, A., Santos, J. F. dos, &amp; Ranciaro Neto, A. (2023). Performance of Brazilian credit unions: An analysis from PEARLS indicators. </w:t>
      </w:r>
      <w:r>
        <w:rPr>
          <w:i/>
          <w:iCs/>
          <w:sz w:val="18"/>
          <w:szCs w:val="18"/>
        </w:rPr>
        <w:t xml:space="preserve">RAM. Revista de Administração Mackenzie</w:t>
      </w:r>
      <w:r>
        <w:rPr>
          <w:sz w:val="18"/>
          <w:szCs w:val="18"/>
        </w:rPr>
        <w:t xml:space="preserve">, </w:t>
      </w:r>
      <w:r>
        <w:rPr>
          <w:i/>
          <w:iCs/>
          <w:sz w:val="18"/>
          <w:szCs w:val="18"/>
        </w:rPr>
        <w:t xml:space="preserve">24</w:t>
      </w:r>
      <w:r>
        <w:rPr>
          <w:sz w:val="18"/>
          <w:szCs w:val="18"/>
        </w:rPr>
        <w:t xml:space="preserve">(1), eRAMR230057. https://doi.org/10.1590/1678-6971/eRAMR230057.en</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