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use this setting to ask whether the cooperative form retains distinct balance-sheet characteristics. Using a quarterly panel of every full-methodology institution from 2017 to 2024, 130 singular credit cooperatives and 144 banks, we relate eleven balance-sheet and performance measures to a cooperative dummy. The estimates control for size and time and are repeated on a matched sample and across five comparison groups. Three results emerge. First, cooperatives of comparable size allocate more of their assets to credit than banks nationally, operate at lower cost and show steadier returns; before tax the typical cooperative earns more than a comparable bank, although the mean gap does not hold across specifications, and after tax cooperatives retain about two percentage points more, of which the tax exemption of cooperative acts accounts for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is earned before tax, on an intermediation margin that matches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