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pStyle w:val="Abstract"/>
        <w:keepNext/>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Theory gives reasons to expect a distinct profile. Cooperative capital is an endowment of retained earnings accumulated across member generations, which outside voting equity cannot top up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Eight quarterly outcomes cover the Basel capital ratio, leverage, return on assets,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earn a return on assets about two percentage points higher, operate at lower cost at the median, and show lower return volatility and a higher z-score. Their intermediation margin is indistinguishable from that of banks, so the higher return comes from lending volume and cost. These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 solid return on spreads similar to those of banks and sits in a narrow band of the capital distribution. The results agree with Hesse and Čihák (2007) on lower capitalisation and lower return volatility and differ on profitability, which is higher in this population.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states how cumulative flows were converted to rates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public guarantee still apply. For the cooperative movement, a case resting on cost, return and stability holds against every definition of a bank we tried. A case resting on more conservative provisioning does not.</w:t>
      </w:r>
    </w:p>
    <w:p>
      <w:pPr>
        <w:pStyle w:val="Abstract"/>
        <w:keepNext/>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