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We use this setting, which no previous study has exploited, to ask whether the cooperative form retains distinct balance-sheet characteristics. Using a quarterly panel of every full-methodology institution from 2017 to 2024, 130 singular credit cooperatives and 144 banks, we relate ten measures of capital, performance, stability and balance-sheet structure to a cooperative dummy. The estimates control for size and time and are repeated on a matched sample, on the region of common support and across five comparison groups. Three results emerge. First, cooperatives of comparable size allocate more of their assets to credit than banks nationally, earn a higher return on assets at lower cost, and show lower return volatility. Second, capital differs modestly in level and markedly in dispersion. The mean gap comes largely from small banks that barely intermediate and hold capital ratios above fifty percent, and it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These conditional differences suggest that a benchmark calibrated on the average institution may describe the locally lending cooperative poorly, which bears on institutional resilience and on the territorial role of cooperative lenders.</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under Resolution 4.194/2013 until February 2018 and Resolution 4.606/2017 thereafter (Conselho Monetário Nacional, 2013c, 2017b). Commercial, multiple, investment and exchange banks are excluded from S5 at any size. Membership of S5 therefore follows from the choice of methodology, and an institution that stops using the simplified method is reassigned to S4.</w:t>
      </w:r>
      <w:r>
        <w:rPr>
          <w:rStyle w:val="FootnoteReference"/>
        </w:rPr>
        <w:footnoteReference w:id="1"/>
      </w:r>
      <w:r>
        <w:t xml:space="preserve"> Institutions outside S5 apply the </w:t>
      </w:r>
      <w:r>
        <w:rPr>
          <w:i/>
          <w:iCs/>
        </w:rPr>
        <w:t xml:space="preserve">Patrimônio de Referência</w:t>
      </w:r>
      <w:r>
        <w:t xml:space="preserve"> capital definition, minimum requirements and risk-weighted-asset computation of Resolutions 4.192 and 4.193 of 2013 and, from 3 January 2022, of Resolutions 4.955 and 4.958 (Conselho Monetário Nacional, 2013a, 2013b, 2021a, 2021b). Loan classification and minimum provisioning follow Resolution 2.682/1999 throughout the window, since its expected-loss successor took effect only in 2025 (Conselho Monetário Nacional, 1999, 2021c).</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2015a, 2017c, 2017d, 2021b). Those segments contain banks only, and excluding the eleven banks whose modal segment is S1 or S2 changes no significant coefficient by more than two percent.</w:t>
      </w:r>
    </w:p>
    <w:p>
      <w:pPr>
        <w:keepNext/>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and Resolution 4.434/2015, which classifies them as </w:t>
      </w:r>
      <w:r>
        <w:rPr>
          <w:i/>
          <w:iCs/>
        </w:rPr>
        <w:t xml:space="preserve">plena</w:t>
      </w:r>
      <w:r>
        <w:t xml:space="preserve">, </w:t>
      </w:r>
      <w:r>
        <w:rPr>
          <w:i/>
          <w:iCs/>
        </w:rPr>
        <w:t xml:space="preserve">clássica</w:t>
      </w:r>
      <w:r>
        <w:t xml:space="preserve"> or </w:t>
      </w:r>
      <w:r>
        <w:rPr>
          <w:i/>
          <w:iCs/>
        </w:rPr>
        <w:t xml:space="preserve">de capital e empréstimo</w:t>
      </w:r>
      <w:r>
        <w:t xml:space="preserve"> according to the operations they may conduct (Brasil, 2009; Conselho Monetário Nacional, 2015b). Resolution 5.051/2022 consolidated the cooperative rules from January 2023, restating that classification and replacing the minimum-capital articles of the 2015 resolution (Conselho Monetário Nacional, 2022).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does not lend, it measures cooperatives against a standard drawn from a different kind of institution. Whether it does is the question we ask, and the answer bears on institutional resilience and on the territorial role of cooperative lenders.</w:t>
      </w:r>
    </w:p>
    <w:p>
      <w:pPr>
        <w:pStyle w:val="Heading2"/>
        <w:keepNext/>
        <w:numPr>
          <w:ilvl w:val="0"/>
          <w:numId w:val="0"/>
        </w:numPr>
        <w:spacing w:before="200" w:after="80"/>
        <w:ind w:left="0" w:firstLine="0"/>
      </w:pPr>
      <w:r>
        <w:t xml:space="preserve">1.1 Theoretical framework and predictions</w:t>
      </w:r>
    </w:p>
    <w:p>
      <w:pPr>
        <w:jc w:val="both"/>
      </w:pPr>
      <w:r>
        <w:t xml:space="preserve">Prudential capital regulation exists to internalise the externalities that a financial institution's failure imposes on depositors, on the payment system and on the public safety net (Basel Committee on Banking Supervision, 2011). It also offsets the moral hazard that deposit guarantees introduce into the institution's choice of leverage (Diamond &amp; Dybvig, 1983). One reading of this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while the systemic externality of failure and the moral hazard of a public guarantee remain.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Castro Carvalho et al., 2017). Where supervisors adapt the framework to financial cooperatives, the adaptation concerns the capital treatment of member shares and the arrangements within networks, while supervisory powers remain those applied to commercial banks (Coelho et al., 2019). Responsive regulation (Ayres &amp; Braithwaite, 1992; Baldwin &amp; Black, 2008) treats the structure of the regulated industry and the motivations of its firms as inputs to how a regime engages them. Organisational form and network membership then become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However, the shares remain redeemable claims of members and cannot be placed with outside investors. The member's claim carries the five property-rights problems that Cook (1995) sets out: free-rider, horizon, portfolio, control and influence costs, which together weaken the incentive to build capital beyond what member service requires. In Hansmann's terms the claim is tied to use of the institution, so capital accumulation is instrumental to member credit (Hansmann, 1996).</w:t>
      </w:r>
    </w:p>
    <w:p>
      <w:pPr>
        <w:pStyle w:val="Heading2"/>
        <w:keepNext/>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Iannotta et al. (2007) and Beck et al. (2009) find that ownership structure predicts risk and performance across European banks and within Germany, and Becchetti et al. (2016) and Ferri et al. (2014) show that it shapes lending.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The Central Bank has compared cooperatives with private banks on the behaviour of newly captured clients (Banco Central do Brasil, 2020).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Of the 483 non-cooperative institutions under the full methodology in Brazil, 158 report a median credit-to-assets ratio of zero and a median ratio of funds raised to assets of zero.</w:t>
      </w:r>
    </w:p>
    <w:p>
      <w:pPr>
        <w:pStyle w:val="Heading2"/>
        <w:keepNext/>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We also correct two features of the source data that distort the rate variables, and we separate sector-wide differences from differences within regional markets. The window opens in 2017Q1, the first quarter with segment reporting under Resolution 4.553, so the paper cannot speak to the crisis-period lending that Becchetti et al. (2016) and Ferri et al. (2014) study.</w:t>
      </w:r>
    </w:p>
    <w:p>
      <w:pPr>
        <w:pStyle w:val="Heading1"/>
        <w:keepNext/>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return on assets, while the cost discipline of a focused retail model would raise it. The framework does predict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w:t>
      </w:r>
    </w:p>
    <w:p>
      <w:pPr>
        <w:jc w:val="both"/>
      </w:pPr>
      <w:r>
        <w:t xml:space="preserve">We make no prediction on the second question, which concerns method: which institutions form the comparison group, how cumulative accounting flows are converted into rates, and how a matched estimator is weighted.</w:t>
      </w:r>
    </w:p>
    <w:p>
      <w:pPr>
        <w:pStyle w:val="Heading1"/>
        <w:keepNext/>
        <w:numPr>
          <w:ilvl w:val="0"/>
          <w:numId w:val="0"/>
        </w:numPr>
        <w:spacing w:before="240" w:after="120"/>
        <w:ind w:left="0" w:firstLine="0"/>
      </w:pPr>
      <w:r>
        <w:t xml:space="preserve">3 Methods</w:t>
      </w:r>
    </w:p>
    <w:p>
      <w:pPr>
        <w:pStyle w:val="Heading2"/>
        <w:keepNext/>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Each source is deduplicated on the institution-quarter key before merging, keeping the most complete record, and the raw panel runs from 2014Q1 to 2024Q4. All tables and figures are the authors' calculations from the IF.data files.</w:t>
      </w:r>
    </w:p>
    <w:p>
      <w:pPr>
        <w:jc w:val="both"/>
      </w:pPr>
      <w:r>
        <w:t xml:space="preserve">The panel is IF.data's prudential-conglomerate report, and every row carries its reporting level. Of the banks, 87 report as consolidations and 57 individually, and some switch within the window. All cooperatives report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both </w:t>
      </w:r>
      <w:r>
        <w:rPr>
          <w:rFonts w:ascii="Consolas" w:hAnsi="Consolas" w:cs="Consolas"/>
        </w:rPr>
        <w:t xml:space="preserve">b1</w:t>
      </w:r>
      <w:r>
        <w:t xml:space="preserve"> commercial banks, in the cooperative group.</w:t>
      </w:r>
    </w:p>
    <w:p>
      <w:pPr>
        <w:pStyle w:val="Heading2"/>
        <w:keepNext/>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and never on an outcome.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Of the 339 institutions in the broad group outside the bank rung, 335 are non-banking, and 158 institutions, almost all of them non-banking, have a median of zero credit and zero funds raised (Figure 2). Their presence makes the credit and funding differentials mechanical, but we still report the broad group because its divergence from banks is one of our results.</w:t>
      </w:r>
    </w:p>
    <w:p>
      <w:pPr>
        <w:keepNext/>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numPr>
          <w:ilvl w:val="0"/>
          <w:numId w:val="0"/>
        </w:numPr>
        <w:spacing w:before="200" w:after="80"/>
        <w:ind w:left="0" w:firstLine="0"/>
      </w:pPr>
      <w:r>
        <w:t xml:space="preserve">3.3 Outcomes and two measurement corrections</w:t>
      </w:r>
    </w:p>
    <w:p>
      <w:pPr>
        <w:jc w:val="both"/>
      </w:pPr>
      <w:r>
        <w:t xml:space="preserve">We study eight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the cooperatives dropped are late entrants to the full methodology.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Read as quarterly flows, the fields make return on assets a one-quarter return in odd quarters and a two-quarter return in even ones. We de-cumulate within each semester and annualise, which scales the return on assets coefficient by about 2.7 and leaves every stock-based coefficient unchanged.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pStyle w:val="TablaImagen-Ttulo"/>
        <w:keepNext/>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w:t>
            </w:r>
          </w:p>
        </w:tc>
        <w:tc>
          <w:tcPr>
            <w:tcW w:w="5598" w:type="dxa"/>
          </w:tcPr>
          <w:p>
            <w:pPr>
              <w:spacing w:before="20" w:after="20" w:line="240" w:lineRule="auto"/>
              <w:jc w:val="left"/>
            </w:pPr>
            <w:r>
              <w:rPr>
                <w:sz w:val="18"/>
                <w:szCs w:val="18"/>
              </w:rPr>
              <w:t xml:space="preserve">4× (quarterly net income, line (j) de-cumulated within the semester)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 de-cumulated within the semester</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 de-cumulated within the semester</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 (at least eight)</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 (at least eight quarters)</w:t>
            </w:r>
          </w:p>
        </w:tc>
      </w:tr>
    </w:tbl>
    <w:p>
      <w:pPr>
        <w:spacing w:before="60" w:after="200" w:line="240" w:lineRule="auto"/>
        <w:jc w:val="both"/>
      </w:pPr>
      <w:r>
        <w:rPr>
          <w:sz w:val="16"/>
          <w:szCs w:val="16"/>
        </w:rPr>
        <w:t xml:space="preserve">IF.data lines: (a) intermediation revenue, (b) intermediation expense, carried as a negative, (c)  =  (a)  +  (b) intermediation result, (b5) loan-loss provision result within (b), (d2) fee income, (d3) personnel expense, (d4) administrative expense, (j) net income.</w:t>
      </w:r>
    </w:p>
    <w:p>
      <w:pPr>
        <w:pStyle w:val="Heading2"/>
        <w:keepNext/>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does not vary within an institution, so it is collinear with any institution fixed effect. The estimates are conditional correlations, and we do not present them as causal effects of organisational form.</w:t>
      </w:r>
    </w:p>
    <w:p>
      <w:pPr>
        <w:jc w:val="both"/>
      </w:pPr>
      <w:r>
        <w:t xml:space="preserve">The coarsened-exact-matching estimand weights control units so that the treated-to-control ratio is equal within every stratum (Iacus et al., 2012). OLS on the matched sample does not recover it, since unweighted strata are implicitly weighted by their control counts. We report the weighted estimand and the unweighted matched-sample regression together. We coarsen on size quintile and control for region. Region-exact matching would leave too few controls: cooperatives concentrate in the South and banks in the Southeast, so region-exact strata leave an effective control sample of about eighteen institutions by the Kish measure,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(Abadie et al., 2023; Cameron &amp; Miller, 2015). Inference from clustered standard errors is unreliable when few clusters are treated (MacKinnon &amp; Webb, 2017), as in the system-by-system estimates. We therefore compute a restricted wild cluster bootstrap with Rademacher weights for every coefficient (Cameron et al., 2008). In simulations on our design with six treated clusters, the clustered test rejects a true null 16 percent of the time at a nominal 5 percent level. The wild bootstrap comes closer to the nominal level and is correctly sized at one percent. System-level estimates report the number of treated clusters, and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 outcome is </w:t>
      </w:r>
      <w:r>
        <w:rPr>
          <w:i/>
          <w:iCs/>
        </w:rPr>
        <w:t xml:space="preserve">null</w:t>
      </w:r>
      <w:r>
        <w:t xml:space="preserve"> unless it is significant at five percent, with one sign, in all four specifications. A significant outcome is </w:t>
      </w:r>
      <w:r>
        <w:rPr>
          <w:i/>
          <w:iCs/>
        </w:rPr>
        <w:t xml:space="preserve">stable</w:t>
      </w:r>
      <w:r>
        <w:t xml:space="preserve"> if it stays significant under every winsorisation rule, varies by less than a factor of two across those rules, and has an average quantile coefficient between the twentieth and eightieth percentiles of at least half the conditional mean. Otherwise it is </w:t>
      </w:r>
      <w:r>
        <w:rPr>
          <w:i/>
          <w:iCs/>
        </w:rPr>
        <w:t xml:space="preserve">stable in sign</w:t>
      </w:r>
      <w:r>
        <w:t xml:space="preserve">: the direction holds, but the tails or the shape of the distribution drive the magnitude.</w:t>
      </w:r>
    </w:p>
    <w:p>
      <w:pPr>
        <w:pStyle w:val="Heading1"/>
        <w:keepNext/>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p>
    <w:p>
      <w:pPr>
        <w:keepNext/>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 |β</w:t>
      </w:r>
      <w:r>
        <w:rPr>
          <w:vertAlign w:val="subscript"/>
        </w:rPr>
        <w:t xml:space="preserve">trim</w:t>
      </w:r>
      <w:r>
        <w:t xml:space="preserve">| / |β</w:t>
      </w:r>
      <w:r>
        <w:rPr>
          <w:vertAlign w:val="subscript"/>
        </w:rPr>
        <w:t xml:space="preserve">raw</w:t>
      </w:r>
      <w:r>
        <w:t xml:space="preserve">|.</w:t>
      </w:r>
    </w:p>
    <w:p>
      <w:pPr>
        <w:pStyle w:val="TablaImagen-Ttulo"/>
        <w:keepNext/>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eight quarterly outcomes keep their sign and significance across all four specifications and every winsorisation rule, including no winsorisation. Their retention ratios are above one, except for return on assets, which keeps most of its raw value. A size-composition artefact would shrink as size is held more tightly, so this pattern points away from that explanation. However, trimming also narrows the control set, and the ratio is not a formal test. By the rule of Section 3.4, credit intensity, return on assets and return volatility are stable. Capital, leverage and cost-to-income are stable in sign, while provisioning, the margin and funding are null. The capital coefficient should not be read at face value: under controls its conditional mean is about seven times its conditional median, because the mean mostly reflects the upper tail of the bank distribution, as we show below.</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 Cooperatives also earn a higher return on assets, by about two percentage points under controls and somewhat less at the conditional median, a large gap by the standards of the banking literature. Their intermediation margin is indistinguishable from that of banks, so the higher return appears to come from lending volume and lower cost.</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Trimming the bank-quarters whose operating income is below 0.5 percent of assets, none of them cooperative, reduces the coefficient by about a tenth.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Figure 4 reconciles the two: the cooperative coefficient is positive at the bottom of the conditional capital distribution and negative at the top, and it crosses zero near the fortieth percentile. Its bootstrap interval lies above zero at the twenty-fifth percentile, includes zero at the median and lies well below zero at the seventy-fifth. Averaged over the twentieth to eightieth percentiles, the differential is about a third of the conditional mean (quantile coefficients for the six main outcomes are in the online appendix).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and the shaded bands of Figure 6 show the same contrast in every quarter.</w:t>
      </w:r>
    </w:p>
    <w:p>
      <w:pPr>
        <w:jc w:val="both"/>
      </w:pPr>
      <w:r>
        <w:t xml:space="preserve">We examine two possible explanations of the bank upper tail. The first is reporting level. The tail sits among the banks that report individually, whose ninetieth percentile is far above that of the consolidations. The controlled gap against them is about four times the gap against the consolidations and has the same sign-crossing shape. Against the consolidations the gap is marginal, with a positive median coefficient (online appendix). The second is business model. Requiring a bank to be deposit-funded in every quarter, the structural rung, roughly halves both the share of bank-quarters above 50 percent and the estimated mean gap, which remains significant (Figure 5). The evidence is consistent with the bank upper tail being concentrated among small standalone banks with little risk-weighted exposure. Against banks that lend and take deposits, the capital difference consists of a modest gap in level and a large gap in dispersion.</w:t>
      </w:r>
    </w:p>
    <w:p>
      <w:pPr>
        <w:keepNext/>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return on assets, so for those two the mean describes the typical institution.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Because the two measures share the standard deviation of return on assets, we treat them as one result, with volatility as the primary measure. Together with the return on assets result, this means that cooperatives earn higher and less volatile returns on the same intermediation margin.</w:t>
      </w:r>
    </w:p>
    <w:p>
      <w:pPr>
        <w:pStyle w:val="Heading2"/>
        <w:keepNext/>
        <w:numPr>
          <w:ilvl w:val="0"/>
          <w:numId w:val="0"/>
        </w:numPr>
        <w:spacing w:before="200" w:after="80"/>
        <w:ind w:left="0" w:firstLine="0"/>
      </w:pPr>
      <w:r>
        <w:t xml:space="preserve">4.2 Comparison-group dependence</w:t>
      </w:r>
    </w:p>
    <w:p>
      <w:pPr>
        <w:jc w:val="both"/>
      </w:pPr>
      <w:r>
        <w:t xml:space="preserve">Figure 5 re-estimates every outcome on five rungs: the broad group, banks, banks within macro-region, commercial banks and structural banks. Return on assets, cost-to-income and return volatility keep their sign on every rung and hold at one percent on all of them except the within-region comparison, where the first two hold at five percent. Credit intensity holds at one percent on the four national rungs and is not distinguishable from zero within region (Section 4.3). Dropping the sector's two cooperative-owned banks changes every coefficient by 1.3 percent or less, apart from the provisioning coefficient, which stays within 0.0002 of zero. Two results that appear against the broad group disappear against banks.</w:t>
      </w:r>
    </w:p>
    <w:p>
      <w:pPr>
        <w:keepNext/>
        <w:spacing w:before="120" w:after="60"/>
        <w:jc w:val="center"/>
      </w:pPr>
      <w:r>
        <w:drawing>
          <wp:inline distT="0" distB="0" distL="0" distR="0">
            <wp:extent cx="4824730" cy="4901884"/>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4901884"/>
                    </a:xfrm>
                    <a:prstGeom prst="rect">
                      <a:avLst/>
                    </a:prstGeom>
                  </pic:spPr>
                </pic:pic>
              </a:graphicData>
            </a:graphic>
          </wp:inline>
        </w:drawing>
      </w:r>
    </w:p>
    <w:p>
      <w:pPr>
        <w:pStyle w:val="TablaImagen-Ttulo"/>
        <w:keepNext/>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the institutions that do not lend barely enter, since fewer than five percent of their quarters carry the ratio. At the conditional median the sign reverses, with cooperatives provisioning more, and under the tightest winsorisation rule the mean coefficient also turns positive and significant. Supervisory concern attaches to capital, so we also split the sample into terciles of the Basel ratio, and no tercile shows cooperatives provisioning less. Cut on the unconditional ratio, the differential is not distinguishable from zero in the bottom and top terciles and is positive and significant in the middle tercile, where the largest share of cooperative quarters sits; cut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It is large and highly significant against the broad group, whose non-banking members report intermediation margins several times those of banks and cooperatives relative to assets.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do not report it as a finding.</w:t>
      </w:r>
    </w:p>
    <w:p>
      <w:pPr>
        <w:pStyle w:val="Heading2"/>
        <w:keepNext/>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not distinguishable from zero under any coarsening scheme. Cooperatives thus lend more than the national bank population, while within regional markets the difference cannot be told apart from zero. However, which estimate is the parameter of interest depends on an assumption we cannot test. If cooperatives concentrate where they do for reasons internal to member-based finance, region is a mediator and the size-only estimate is the parameter. If regional market structure is heterogeneity unrelated to form, region is a confounder and credit intensity is a null. We report the two as distinct parameters, the sector-wide and the within-market differential, and label every claim by the comparison it rests on.</w:t>
      </w:r>
    </w:p>
    <w:p>
      <w:pPr>
        <w:jc w:val="both"/>
      </w:pPr>
      <w:r>
        <w:t xml:space="preserve">Two cautions apply. The within-region estimates are imprecise, since region-exact strata leave an effective control sample of eighteen. The within-market null may therefore reflect low power as much as the parameter itself (Figure 5 shows the intervals). In addition, macro-region is a coarse proxy for market, and the relevant distinction is probably rural credit, which a credit-modality measure would capture. Return volatility survives the within-region comparison, while the z-score, which shares its denominator, does not. We read the pair as one result whose within-market status is uncertain.</w:t>
      </w:r>
    </w:p>
    <w:p>
      <w:pPr>
        <w:pStyle w:val="Heading2"/>
        <w:keepNext/>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and cannot test network affiliation as such. Cooperatives in both networks hold less regulatory capital than comparable banks, significant under the bootstrap in each. The six independents rest on five treated clusters, three of which supply nearly all the quarters. Their capital estimate is positive and cannot be separated from noise. In addition, their return on assets shows why the bootstrap matters: it is overwhelmingly significant under clustered errors and only just significant under the bootstrap.</w:t>
      </w:r>
    </w:p>
    <w:p>
      <w:pPr>
        <w:jc w:val="both"/>
      </w:pPr>
      <w:r>
        <w:t xml:space="preserve">The split locates the pooled capital differential in the two large networks without explaining it. With five independent cooperatives, we cannot tell whether independents differ or are simply too few to detect.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cannot separate the backstop from these. Provisioning is insignificant in every system.</w:t>
      </w:r>
    </w:p>
    <w:p>
      <w:pPr>
        <w:pStyle w:val="Heading2"/>
        <w:keepNext/>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w:t>
      </w:r>
      <w:r>
        <w:rPr>
          <w:rStyle w:val="FootnoteReference"/>
        </w:rPr>
        <w:footnoteReference w:id="3"/>
      </w:r>
      <w:r>
        <w:t xml:space="preserve">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and marginally less profitable, which runs against our findings. They were also marginally leaner, which runs with them. As a result, selection likely biases the credit and profitability estimates towards zero and, if anything, the efficiency estimate marginally away from it.</w:t>
      </w:r>
    </w:p>
    <w:p>
      <w:pPr>
        <w:pStyle w:val="Heading2"/>
        <w:keepNext/>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so the comparison under a common methodology holds across the methodology's own revision. Four winsorisation rules, re-estimation on the rows where provisioning is observed, and dropping the six cooperatives that revert to the simplified methodology leave every surviving sign unchanged. The weighted and unweighted matched-sample estimates differ by less than the sampling error; the largest difference is for the capital ratio, where the weighted estimand is two percentage points larger.</w:t>
      </w:r>
    </w:p>
    <w:p>
      <w:pPr>
        <w:pStyle w:val="Heading1"/>
        <w:keepNext/>
        <w:numPr>
          <w:ilvl w:val="0"/>
          <w:numId w:val="0"/>
        </w:numPr>
        <w:spacing w:before="240" w:after="120"/>
        <w:ind w:left="0" w:firstLine="0"/>
      </w:pPr>
      <w:r>
        <w:t xml:space="preserve">5 Discussion</w:t>
      </w:r>
    </w:p>
    <w:p>
      <w:pPr>
        <w:jc w:val="both"/>
      </w:pPr>
      <w:r>
        <w:t xml:space="preserve">The surviving results suggest a focused retail lender. A cooperative in the full-methodology population channels a high share of its assets into member credit and runs that operation at low cost. It earns a solid return on assets on intermediation spreads similar to those of banks, and it sits in a narrow band of the capital distribution. This profile is consistent with a member-service orientation in which capital accumulation is a means to member credit (Fonteyne, 2007).</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cooperatives are both more profitable and less volatile, on margins indistinguishable from those of banks. The difference may reflect our population, which is restricted to the largest cooperatives and to a common prudential methodology.</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while the finding that they provision more holds only in the middle of the capital distribution. The data also show that cooperatives lack the highly capitalised upper tail that banks exhibit.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first is the comparison group, which as “all non-cooperatives” imports some 160 institutions that neither lend nor raise funds. The second and third are reading IF.data income fields as quarterly flows and estimating the matched comparison by unweighted OLS on the matched sample. Each is a natural reading of the source material. Some of the disagreements in the literature may reflect different comparison groups.</w:t>
      </w:r>
    </w:p>
    <w:p>
      <w:pPr>
        <w:pStyle w:val="Heading2"/>
        <w:keepNext/>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we attempted a within-institution design around the adoption of the full methodology and do not report one. Adoption is driven by growth, growth moves every balance-sheet ratio continuously, and pre-adoption trends run through the adoption date without a break, so the threshold crossing does not identify a regime effect.</w:t>
      </w:r>
    </w:p>
    <w:p>
      <w:pPr>
        <w:pStyle w:val="Heading1"/>
        <w:keepNext/>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reports the matched estimand, and prints treated cluster counts beside system-level </w:t>
      </w:r>
      <w:r>
        <w:rPr>
          <w:i/>
          <w:iCs/>
        </w:rPr>
        <w:t xml:space="preserve">p</w:t>
      </w:r>
      <w:r>
        <w:t xml:space="preserve">-values. Each step is inexpensive, and in our data each changed at least one conclusion.</w:t>
      </w:r>
    </w:p>
    <w:p>
      <w:pPr>
        <w:jc w:val="both"/>
      </w:pPr>
      <w:r>
        <w:t xml:space="preserve">Our results bear on two margins of proportionality beyond size (Conselho Monetário Nacional, 2017a). Because the evidence is descriptive, we frame both as questions.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does not follow.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systemic-externality and public-guarantee rationales still apply, so thinner capital may call for closer supervisory attention as well as for relief.</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return on assets and return stability holds against every definition of a bank we tried. One resting on credit intensity holds against the national bank population but has not been shown within regional markets.</w:t>
      </w:r>
    </w:p>
    <w:p>
      <w:pPr>
        <w:pStyle w:val="Heading1"/>
        <w:keepNext/>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Abadie, A., Athey, S., Imbens, G. W., &amp; Wooldridge, J. M. (2023). When should you adjust standard errors for clustering? </w:t>
      </w:r>
      <w:r>
        <w:rPr>
          <w:i/>
          <w:iCs/>
          <w:sz w:val="18"/>
          <w:szCs w:val="18"/>
        </w:rPr>
        <w:t xml:space="preserve">Quarterly Journal of Economics</w:t>
      </w:r>
      <w:r>
        <w:rPr>
          <w:sz w:val="18"/>
          <w:szCs w:val="18"/>
        </w:rPr>
        <w:t xml:space="preserve">, </w:t>
      </w:r>
      <w:r>
        <w:rPr>
          <w:i/>
          <w:iCs/>
          <w:sz w:val="18"/>
          <w:szCs w:val="18"/>
        </w:rPr>
        <w:t xml:space="preserve">138</w:t>
      </w:r>
      <w:r>
        <w:rPr>
          <w:sz w:val="18"/>
          <w:szCs w:val="18"/>
        </w:rPr>
        <w:t xml:space="preserve">(1), 1–35. https://doi.org/10.1093/qje/qjac038</w:t>
      </w:r>
    </w:p>
    <w:p>
      <w:pPr>
        <w:pStyle w:val="ReferenciasBibliogrficas"/>
        <w:spacing w:after="60" w:line="240" w:lineRule="auto"/>
        <w:jc w:val="left"/>
      </w:pPr>
      <w:r>
        <w:rPr>
          <w:sz w:val="18"/>
          <w:szCs w:val="18"/>
        </w:rPr>
        <w:t xml:space="preserve">Ayres, I., &amp; Braithwaite, J. (1992). </w:t>
      </w:r>
      <w:r>
        <w:rPr>
          <w:i/>
          <w:iCs/>
          <w:sz w:val="18"/>
          <w:szCs w:val="18"/>
        </w:rPr>
        <w:t xml:space="preserve">Responsive regulation: Transcending the deregulation debate</w:t>
      </w:r>
      <w:r>
        <w:rPr>
          <w:sz w:val="18"/>
          <w:szCs w:val="18"/>
        </w:rPr>
        <w:t xml:space="preserve">. Oxford University Press.</w:t>
      </w:r>
    </w:p>
    <w:p>
      <w:pPr>
        <w:pStyle w:val="ReferenciasBibliogrficas"/>
        <w:spacing w:after="60" w:line="240" w:lineRule="auto"/>
        <w:jc w:val="left"/>
      </w:pPr>
      <w:r>
        <w:rPr>
          <w:sz w:val="18"/>
          <w:szCs w:val="18"/>
        </w:rPr>
        <w:t xml:space="preserve">Baldwin, R., &amp; Black, J. (2008). Really responsive regulation. </w:t>
      </w:r>
      <w:r>
        <w:rPr>
          <w:i/>
          <w:iCs/>
          <w:sz w:val="18"/>
          <w:szCs w:val="18"/>
        </w:rPr>
        <w:t xml:space="preserve">Modern Law Review</w:t>
      </w:r>
      <w:r>
        <w:rPr>
          <w:sz w:val="18"/>
          <w:szCs w:val="18"/>
        </w:rPr>
        <w:t xml:space="preserve">, </w:t>
      </w:r>
      <w:r>
        <w:rPr>
          <w:i/>
          <w:iCs/>
          <w:sz w:val="18"/>
          <w:szCs w:val="18"/>
        </w:rPr>
        <w:t xml:space="preserve">71</w:t>
      </w:r>
      <w:r>
        <w:rPr>
          <w:sz w:val="18"/>
          <w:szCs w:val="18"/>
        </w:rPr>
        <w:t xml:space="preserve">(1), 59–94. https://doi.org/10.1111/j.1468-2230.2008.00681.x</w:t>
      </w:r>
    </w:p>
    <w:p>
      <w:pPr>
        <w:pStyle w:val="ReferenciasBibliogrficas"/>
        <w:spacing w:after="60" w:line="240" w:lineRule="auto"/>
        <w:jc w:val="left"/>
      </w:pPr>
      <w:r>
        <w:rPr>
          <w:sz w:val="18"/>
          <w:szCs w:val="18"/>
        </w:rPr>
        <w:t xml:space="preserve">Banco Central do Brasil. (2020). </w:t>
      </w:r>
      <w:r>
        <w:rPr>
          <w:i/>
          <w:iCs/>
          <w:sz w:val="18"/>
          <w:szCs w:val="18"/>
        </w:rPr>
        <w:t xml:space="preserve">Cooperativas de crédito versus bancos privados: comportamento após a captura de novos clientes</w:t>
      </w:r>
      <w:r>
        <w:rPr>
          <w:sz w:val="18"/>
          <w:szCs w:val="18"/>
        </w:rPr>
        <w:t xml:space="preserve"> (Estudo Especial No. 91/2020). Banco Central do Brasil.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Castro Carvalho, A. P., Hohl, S., Raskopf, R., &amp; Ruhnau, S. (2017). </w:t>
      </w:r>
      <w:r>
        <w:rPr>
          <w:i/>
          <w:iCs/>
          <w:sz w:val="18"/>
          <w:szCs w:val="18"/>
        </w:rPr>
        <w:t xml:space="preserve">Proportionality in banking regulation: A cross-country comparison</w:t>
      </w:r>
      <w:r>
        <w:rPr>
          <w:sz w:val="18"/>
          <w:szCs w:val="18"/>
        </w:rPr>
        <w:t xml:space="preserve"> (FSI Insights on Policy Implementation No. 1). Bank for International Settlements, Financial Stability Institute. </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(2013a). </w:t>
      </w:r>
      <w:r>
        <w:rPr>
          <w:i/>
          <w:iCs/>
          <w:sz w:val="18"/>
          <w:szCs w:val="18"/>
        </w:rPr>
        <w:t xml:space="preserve">Resolução nº 4.192, de 1º de março de 2013.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(2013b). </w:t>
      </w:r>
      <w:r>
        <w:rPr>
          <w:i/>
          <w:iCs/>
          <w:sz w:val="18"/>
          <w:szCs w:val="18"/>
        </w:rPr>
        <w:t xml:space="preserve">Resolução nº 4.193, de 1º de março de 2013. Apuração dos requerimentos m\inimos de Patrimônio de Referência, de N\ivel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(2013c). </w:t>
      </w:r>
      <w:r>
        <w:rPr>
          <w:i/>
          <w:iCs/>
          <w:sz w:val="18"/>
          <w:szCs w:val="18"/>
        </w:rPr>
        <w:t xml:space="preserve">Resolução nº 4.194, de 1º de março de 2013. Metodologia facultativa simplificada para apuração do requerimento m\inimo de Patrimônio de Referência por cooperativas de crédito</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(2015a). </w:t>
      </w:r>
      <w:r>
        <w:rPr>
          <w:i/>
          <w:iCs/>
          <w:sz w:val="18"/>
          <w:szCs w:val="18"/>
        </w:rPr>
        <w:t xml:space="preserve">Resolução nº 4.401, de 27 de fevereiro de 2015. Requerimentos m\inimos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(2015b). </w:t>
      </w:r>
      <w:r>
        <w:rPr>
          <w:i/>
          <w:iCs/>
          <w:sz w:val="18"/>
          <w:szCs w:val="18"/>
        </w:rPr>
        <w:t xml:space="preserve">Resolução nº 4.434, de 5 de agosto de 2015. Constituição, autorização para funcionamento, funcionamento, alterações estatutárias e cancelamento de autorização para funcionamento das cooperativas de crédito</w:t>
      </w:r>
      <w:r>
        <w:rPr>
          <w:sz w:val="18"/>
          <w:szCs w:val="18"/>
        </w:rPr>
        <w:t xml:space="preserve">. Banco Central do Brasil. https://normativos.bcb.gov.br/Lists/Normativos/Attachments/48507/Res_4434_v8_P.pdf</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m\inimo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m\inimo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m\inimos de Patrimônio de Referência, de N\ivel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(2021c). </w:t>
      </w:r>
      <w:r>
        <w:rPr>
          <w:i/>
          <w:iCs/>
          <w:sz w:val="18"/>
          <w:szCs w:val="18"/>
        </w:rPr>
        <w:t xml:space="preserve">Resolução nº 4.966, de 25 de novembro de 2021. Conceitos e critérios contábeis aplicáveis a instrumentos financeiros e provisão para perdas esperadas</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(2022). </w:t>
      </w:r>
      <w:r>
        <w:rPr>
          <w:i/>
          <w:iCs/>
          <w:sz w:val="18"/>
          <w:szCs w:val="18"/>
        </w:rPr>
        <w:t xml:space="preserve">Resolução nº 5.051, de 25 de novembro de 2022. Dispõe sobre a organização e o funcionamento de cooperativas de crédito</w:t>
      </w:r>
      <w:r>
        <w:rPr>
          <w:sz w:val="18"/>
          <w:szCs w:val="18"/>
        </w:rPr>
        <w:t xml:space="preserve">. Diário Oficial da União, 28 de novembro de 2022, Seção 1, pp. 25–28.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Hansmann, H. (1996). </w:t>
      </w:r>
      <w:r>
        <w:rPr>
          <w:i/>
          <w:iCs/>
          <w:sz w:val="18"/>
          <w:szCs w:val="18"/>
        </w:rPr>
        <w:t xml:space="preserve">The ownership of enterprise</w:t>
      </w:r>
      <w:r>
        <w:rPr>
          <w:sz w:val="18"/>
          <w:szCs w:val="18"/>
        </w:rPr>
        <w:t xml:space="preserve">. The Belknap Press of Harvard University Press.</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Heading1"/>
        <w:keepNext/>
        <w:numPr>
          <w:ilvl w:val="0"/>
          <w:numId w:val="0"/>
        </w:numPr>
        <w:spacing w:before="240" w:after="120"/>
        <w:ind w:left="0" w:firstLine="0"/>
      </w:pPr>
      <w:r>
        <w:t xml:space="preserve">Appendix A. Reproducibility</w:t>
      </w:r>
    </w:p>
    <w:p>
      <w:pPr>
        <w:jc w:val="both"/>
      </w:pPr>
      <w:r>
        <w:t xml:space="preserve">All results come from one script run against the public IF.data bulk files, with every comparison group, coarsening, winsorisation rule and sensitivity check as a parameter. Tables are generated from the results files. The online appendix holds the remaining tables.</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segment label is revised semiannually, so five full-methodology cooperative-quarters still carry the S5 label in transition. The sample follows the reported methodology.</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missing bank-quarters are concentrated among the low-credit institutions the ladder is designed to remove, and in 2023, when coverage falls to about two thirds for banks.</w:t>
      </w:r>
    </w:p>
  </w:footnote>
  <w:footnote w:id="3">
    <w:p>
      <w:pPr>
        <w:pStyle w:val="FootnoteText"/>
        <w:spacing w:after="40"/>
        <w:jc w:val="both"/>
      </w:pPr>
      <w:r>
        <w:rPr>
          <w:rStyle w:val="FootnoteReference"/>
        </w:rPr>
        <w:footnoteRef/>
      </w:r>
      <w:r>
        <w:rPr>
          <w:sz w:val="16"/>
          <w:szCs w:val="16"/>
        </w:rPr>
        <w:t xml:space="preserve"> </w:t>
      </w:r>
      <w:r>
        <w:rPr>
          <w:sz w:val="16"/>
          <w:szCs w:val="16"/>
        </w:rPr>
        <w:t xml:space="preserve">A further five cooperatives carry simplified-methodology quarters only after their first full-methodology quarter and are excluded from the pre-adoption comparison. With one adopter that also reverts, they are the six reverters discussed below. Including them leaves the sign of every coefficient reported here unchanged.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