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spacing w:after="120"/>
        <w:jc w:val="center"/>
      </w:pPr>
      <w:r>
        <w:rPr>
          <w:i/>
          <w:iCs/>
        </w:rPr>
        <w:t xml:space="preserve">Award category: </w:t>
      </w:r>
      <w:r>
        <w:t xml:space="preserve">Best Young and Emerging Scholar Paper</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The cooperative form leaves a clear imprint, in three results. First, at comparable size cooperatives operate at lower cost and show steadier returns, and nationally they lend a larger share of their assets than banks, a difference that does not survive matching within region. After tax they retain about two percentage points more of their return, of which the tax exemption explains about two fifths; before tax the typical cooperative still earns more, though the mean gap is not established. Second, capital differs modestly in level and markedly in dispersion. The mean gap comes from small banks with capital ratios above fifty percent and roughly halves against deposit-funded banks; in the lower part of the capital distribution, cooperatives hold more capital than banks at the same quantile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their share has risen in every year since 2020 (Banco Central do Brasil, 2025).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In the representation reading of that rationale, the supervisor acts for small, dispersed depositors who cannot monitor a leveraged intermediary; a cooperative's depositor is also a member with a residual claim and a governance right, and in the integrated systems a central body monitors on their behalf, so the problem is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The current European debate on simpler rules for smaller banks keeps to the same criteria: a German supervisory proposal reviewed by Berg and Geeroms (2026) would let small, non-complex banks, the savings and cooperative banks among them, opt out of the Basel-based requirements, which the authors support only with conservative calibration and safeguards against risk-taking. Organisational form and network membership are then candidate calibration margins, and this paper supplies the profile that decides whether they point to lighter treatment or closer scrutiny.</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Beck et al. (2009) reach a similar conclusion for German banks under one supervisory regime, where cooperative banks are farther from insolvency than both privately owned and savings banks. Ayadi et al. (2010), Iannotta et al. (2007) and Groeneveld (2020) document the performance, risk and persistent distinctiveness of European cooperative banks, and Becchetti et al. (2016) and Ferri et al. (2014) show that ownership shapes lending.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More recently, Silva et al. (2023) relate the performance of the credit unions in segment S4 to PEARLS indicators and find net lending positively associated with profitability and equity growth; they propose a comparison with the banks of the same segment, which this paper makes. Cavinato and Capitani (2023) show that the social efficiency of rural credit cooperatives differs across regions. None compares cooperatives with banks under a common prudential methodology, the setting used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Quarter fixed effects absorb the pandemic shock, and the pre-2022 subperiod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has no rung defined on lending, since selecting peers on an outcome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the provision line (</w:t>
      </w:r>
      <w:r>
        <w:rPr>
          <w:i/>
          <w:iCs/>
        </w:rPr>
        <w:t xml:space="preserve">b</w:t>
      </w:r>
      <w:r>
        <w:t xml:space="preserve">5),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with six treated clusters, the size of the smallest system split (online appendix), the clustered test over-rejects and the bootstrap is conservative at one percent; the problem concerns the system splits, while the main comparison rests on about 130 treated clusters, where the two agree. Quantile coefficients carry intervals from an institution bootstrap. Several outcomes are right-skewed, so we report the conditional median alongside the conditional mean, under one rule for every outcome: tiers are assigned on the conditional means alone, and when the quantile profile shows one tail driving the mean, as for capital, cost-to-income and the pre-tax return, the magnitude is read at the median while the tier records the mean result.</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Matching and trimming bring the standardised difference in log assets from −0.72 to close to zero. Unconditional means and medians are in the online appendix.</w:t>
      </w:r>
      <w:r>
        <w:rPr>
          <w:rStyle w:val="FootnoteReference"/>
        </w:rPr>
        <w:footnoteReference w:id="1"/>
      </w:r>
    </w:p>
    <w:p>
      <w:pPr>
        <w:jc w:val="both"/>
      </w:pPr>
      <w:r>
        <w:t xml:space="preserve">Three statements summarise what follows. First, under the same prudential rules the largest credit cooperatives run at lower cost and post steadier returns than banks of the same size, lend a larger share of their assets than banks nationally, and keep about two percentage points more of their return after tax, of which the tax exemption explains about two fifths; what they keep is the only capital they can build. Second, their capital ratios sit in a narrow band: below the bank average, which a few small and heavily capitalised banks pull up, and above banks at the same quantile at the thin end of the distribution, where supervisors look. Third, two often-cited differences, lower provisioning and thinner margins, vanish once cooperatives are compared with banks alone.</w:t>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turns negative only in the top decile (Table 3), where a high-earning bank tail pulls the mean towards zero. The typical cooperative thus earns more than a comparable bank before tax, on an indistinguishable intermediation margin, while the mean gap is not established.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for most of the window (Figure 4). Yet the size-controlled mean differential is large and negative in every column of Table 2, and under controls about seven times the conditional median. Figure 5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4).</w:t>
      </w:r>
    </w:p>
    <w:p>
      <w:pPr>
        <w:keepNext/>
        <w:keepLines/>
        <w:spacing w:before="120" w:after="60"/>
        <w:jc w:val="center"/>
      </w:pPr>
      <w:r>
        <w:drawing>
          <wp:inline distT="0" distB="0" distL="0" distR="0">
            <wp:extent cx="4824730" cy="3190795"/>
            <wp:docPr id="104"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4"/>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4. </w:t>
      </w:r>
      <w:r>
        <w:t xml:space="preserve">Medians and interquartile ranges, 2017 to 2024</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6).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5"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5"/>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5.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and before tax both measures keep their sign and significance, with the median volatility gap nearly doubling (Table A11 of the online appendix).</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6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6"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6"/>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6.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no tercile shows cooperatives provisioning less.</w:t>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specification only and is left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one of which belongs to Cresol, so the split describes those two networks; a test of network affiliation as such is beyond it. Cooperatives in both networks hold less regulatory capital than comparable banks, significant under the bootstrap in each. The six independents contribute five treated clusters, since one lacks the outcome,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IF.data ties a singular to its system but not to its central, so the asymmetry can only be bounded: at the end of 2024 the centrals held about a quarter of the singulars' assets, mostly the singulars' own centralised deposits, but about six percent of their regulatory capital and a tenth of their administrative and personnel expenses, so consolidation would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cooperatives are observed under the simplified methodology before adopting the full one; we compare them with cooperatives that never adopt, on pre-adoption quarters only, conditioning on size and quarter. The two groups show no difference in leverage, but adopters were less credit-intensive (−0.068, </w:t>
      </w:r>
      <w:r>
        <w:rPr>
          <w:i/>
          <w:iCs/>
        </w:rPr>
        <w:t xml:space="preserve">p</w:t>
      </w:r>
      <w:r>
        <w:t xml:space="preserve"> = 0.002), marginally less profitable and marginally leaner. This bears on generalisation rather than on the estimates: they describe the adopters, and the wider cooperative population would, if anything, show larger credit and profitability differentials and a smaller efficiency one.</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dropping the sector's two cooperative-owned banks and dropping the six cooperatives that revert to the simplified methodology leave every surviving sign unchanged.</w:t>
      </w:r>
    </w:p>
    <w:p>
      <w:pPr>
        <w:pStyle w:val="Heading1"/>
        <w:keepNext/>
        <w:keepLines/>
        <w:numPr>
          <w:ilvl w:val="0"/>
          <w:numId w:val="0"/>
        </w:numPr>
        <w:spacing w:before="240" w:after="120"/>
        <w:ind w:left="0" w:firstLine="0"/>
      </w:pPr>
      <w:r>
        <w:t xml:space="preserve">5 Discussion</w:t>
      </w:r>
    </w:p>
    <w:p>
      <w:pPr>
        <w:jc w:val="both"/>
      </w:pPr>
      <w:r>
        <w:t xml:space="preserve">The surviving results describe a focused retail lender, consistent with a member-service orientation in which capital accumulation is a means to member credit (Fonteyne, 2007). For supervisors, the findings suggest a benchmark calibrated on lending institutions and a reading of the whole distribution as well as the mean.</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the panel is unbalanced, an institution that is incorporated or closes leaves it at its last reported quarter, and institutions with fewer than eight quarters are absent from that subsample.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since the social efficiency of rural cooperatives differs across regions (Cavinato &amp; Capitani, 2023).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nationally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Beck, T., Hesse, H., Kick, T., &amp; von Westernhagen, N. (2009). </w:t>
      </w:r>
      <w:r>
        <w:rPr>
          <w:i/>
          <w:iCs/>
          <w:sz w:val="18"/>
          <w:szCs w:val="18"/>
        </w:rPr>
        <w:t xml:space="preserve">Bank ownership and stability: Evidence from Germany</w:t>
      </w:r>
      <w:r>
        <w:rPr>
          <w:sz w:val="18"/>
          <w:szCs w:val="18"/>
        </w:rPr>
        <w:t xml:space="preserve"> [Working paper]. Deutsche Bundesbank.</w:t>
      </w:r>
    </w:p>
    <w:p>
      <w:pPr>
        <w:pStyle w:val="ReferenciasBibliogrficas"/>
        <w:spacing w:after="60" w:line="240" w:lineRule="auto"/>
        <w:jc w:val="left"/>
      </w:pPr>
      <w:r>
        <w:rPr>
          <w:sz w:val="18"/>
          <w:szCs w:val="18"/>
        </w:rPr>
        <w:t xml:space="preserve">Berg, J., &amp; Geeroms, H. (2026). </w:t>
      </w:r>
      <w:r>
        <w:rPr>
          <w:i/>
          <w:iCs/>
          <w:sz w:val="18"/>
          <w:szCs w:val="18"/>
        </w:rPr>
        <w:t xml:space="preserve">Calls for EU financial-rule simplification should not spill over into lower standards</w:t>
      </w:r>
      <w:r>
        <w:rPr>
          <w:sz w:val="18"/>
          <w:szCs w:val="18"/>
        </w:rPr>
        <w:t xml:space="preserve">. Bruegel Analysis 21/2026. https://doi.org/10.64153/SSLG8909</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Cavinato, N. R., &amp; Capitani, D. H. D. (2023). Eficiência social das cooperativas de crédito rural no Brasil: uma análise sob a ótica regional. </w:t>
      </w:r>
      <w:r>
        <w:rPr>
          <w:i/>
          <w:iCs/>
          <w:sz w:val="18"/>
          <w:szCs w:val="18"/>
        </w:rPr>
        <w:t xml:space="preserve">Economia e Sociedade</w:t>
      </w:r>
      <w:r>
        <w:rPr>
          <w:sz w:val="18"/>
          <w:szCs w:val="18"/>
        </w:rPr>
        <w:t xml:space="preserve">, </w:t>
      </w:r>
      <w:r>
        <w:rPr>
          <w:i/>
          <w:iCs/>
          <w:sz w:val="18"/>
          <w:szCs w:val="18"/>
        </w:rPr>
        <w:t xml:space="preserve">32</w:t>
      </w:r>
      <w:r>
        <w:rPr>
          <w:sz w:val="18"/>
          <w:szCs w:val="18"/>
        </w:rPr>
        <w:t xml:space="preserve">(2), 429–455. https://doi.org/10.1590/1982-3533.2023v32n2art08</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p>
      <w:pPr>
        <w:pStyle w:val="ReferenciasBibliogrficas"/>
        <w:spacing w:after="60" w:line="240" w:lineRule="auto"/>
        <w:jc w:val="left"/>
      </w:pPr>
      <w:r>
        <w:rPr>
          <w:sz w:val="18"/>
          <w:szCs w:val="18"/>
        </w:rPr>
        <w:t xml:space="preserve">Silva, A., Santos, J. F. dos, &amp; Ranciaro Neto, A. (2023). Performance of Brazilian credit unions: An analysis from PEARLS indicators. </w:t>
      </w:r>
      <w:r>
        <w:rPr>
          <w:i/>
          <w:iCs/>
          <w:sz w:val="18"/>
          <w:szCs w:val="18"/>
        </w:rPr>
        <w:t xml:space="preserve">RAM. Revista de Administração Mackenzie</w:t>
      </w:r>
      <w:r>
        <w:rPr>
          <w:sz w:val="18"/>
          <w:szCs w:val="18"/>
        </w:rPr>
        <w:t xml:space="preserve">, </w:t>
      </w:r>
      <w:r>
        <w:rPr>
          <w:i/>
          <w:iCs/>
          <w:sz w:val="18"/>
          <w:szCs w:val="18"/>
        </w:rPr>
        <w:t xml:space="preserve">24</w:t>
      </w:r>
      <w:r>
        <w:rPr>
          <w:sz w:val="18"/>
          <w:szCs w:val="18"/>
        </w:rPr>
        <w:t xml:space="preserve">(1), eRAMR230057. https://doi.org/10.1590/1678-6971/eRAMR230057.en</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