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the proposal that Berg and Geeroms (2026) weigh would let banks below a size threshold, the German savings and cooperative banks among them, opt into simpler standards, with safeguards on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Brazilian credit unions in the highest segmentation level to PEARLS indicators and find the loan portfolio the main driver of profitability, and Cavinato and Capitani (2023) show that the social efficiency of rural credit cooperatives varies with regional market conditions. None compares cooperatives with banks under a common prudential methodology, the setting used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the tiers below are assigned on the conditional means alone, and where mean and median disagree the quantile profile decides which describes the typical institution, so that when one tail drives the mean, as for capital, cost-to-income and the pre-tax return, we read the magnitude at the median while the tier still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The result most likely describes how the two groups classify their books.</w:t>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Three statements summarise the findings.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comparable banks at the thin end of the distribution, where supervisors look. Third,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regional conditions shape rural cooperatives' efficiency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https://www.bruegel.org/analysis/calls-eu-financial-rule-simplification-should-not-spill-over-lower-standards</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https://doi.org/10.1590/1678-6971/eRAMR230057.en</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