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Theory gives reasons to expect a distinct profile. Cooperative capital is an endowment of retained earnings accumulated across member generations, which outside voting equity cannot top up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Eight quarterly outcomes cover the Basel capital ratio, leverage, return on assets,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show lower return volatility and a higher z-score, and earn an after-tax return on assets about two percentage points higher. Their intermediation margin is indistinguishable from that of banks, so the higher return comes from lending volume and cost. Part of it is also tax: cooperative acts are exempt from income tax and social contribution, and re-estimated on the pre-tax result the return gap is about three fifths of its after-tax size and is not established on the common-support sample.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solid return on spreads similar to those of banks and sits in a narrow band of the capital distribution. The results agree with Hesse and Čihák (2007) on lower capitalisation and lower return volatility and differ on profitability, which is higher after tax in this population; the tax exemption explains part of that gap and narrows the disagreement.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states how cumulative flows were converted to rates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and return stability holds against every definition of a bank we tried, and one resting on the return on assets holds after tax.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