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and Department of Administration, University of Brasilia,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spacing w:after="240"/>
        <w:jc w:val="center"/>
      </w:pPr>
      <w:r>
        <w:rPr>
          <w:i/>
          <w:iCs/>
        </w:rPr>
        <w:t xml:space="preserve">Award category:</w:t>
      </w:r>
      <w:r>
        <w:t xml:space="preserve"> Best Young and Emerging Scholar Paper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We use this setting to ask whether the cooperative form retains distinct balance-sheet characteristics. Using a quarterly panel of every full-methodology institution from 2017 to 2024, 130 singular credit cooperatives and 144 banks, we relate ten measures of capital, performance, stability and balance-sheet structure to a cooperative dummy. The estimates control for size and time and are repeated on a matched sample and across five comparison groups. Three results emerge. First, cooperatives of comparable size allocate more of their assets to credit than banks nationally, operate at lower cost, show lower return volatility and earn a higher return on assets after tax, a gap that the tax exemption of cooperative acts explains in part. Second, capital differs modestly in level and markedly in dispersion. The mean gap comes largely from small banks that barely intermediate and hold capital ratios above fifty percent, and it roughly halves against deposit-funded banks. Among thinly capitalised institutions, cooperatives hold more capital than banks and provision no less. Third, lower provisioning and narrower margins, two differences often reported, disappear once the comparison group is restricted to banks. Whether the differences bear on the territorial role of cooperative lenders is the claim these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w:t>
      </w:r>
      <w:r>
        <w:rPr>
          <w:rStyle w:val="FootnoteReference"/>
        </w:rPr>
        <w:footnoteReference w:id="1"/>
      </w:r>
      <w:r>
        <w:t xml:space="preserv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since its expected-loss successor took effect only in 2025 (Conselho Monetário Nacional, 1999, 2021c).</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2015a, 2017c, 2017d, 2021b). Those segments contain banks only, and Section 4.6 shows that excluding them changes little.</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and Resolution 4.434/2015 (Brasil, 2009; Conselho Monetário Nacional, 2015b). Cooperatives held about six percent of system assets at the end of 2024 and 6.3 percent a year later, and their share has risen in every year since 2020 (Banco Central do Brasil, 2025, 2026).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If the prudential benchmark reflects an average institution that barely lends, it measures cooperatives against a standard drawn from a different kind of institution. Whether it does is the question we ask, and the answer bears on institutional resilience and on the territorial role of cooperative lenders.</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One reading of the prudential rationale is a representation argument, in which the supervisor acts on behalf of small, dispersed depositors who cannot monitor a leveraged intermediary. In a credit cooperative the depositor is also a member with a residual claim and a governance right, and in the integrated systems a central body supplies consolidated monitoring. The monitoring problem is therefore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Castro Carvalho et al., 2017). Where supervisors adapt the framework to cooperatives, the adaptation concerns member shares and network arrangements (Coelho et al., 2019). Responsive regulation (Ayres &amp; Braithwaite, 1992; Baldwin &amp; Black, 2008) treats the structure of the regulated industry and the motivations of its firms as inputs to how a regime engages them. Organisational form and network membership then become candidate calibration margins, and the profile of each form decides whether they point to lighter treatment or closer scrutiny. This paper provides that profile.</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Basel III admits the member shares of mutuals and cooperatives as common equity under criteria adapted to their legal form (Basel Committee on Banking Supervision, 2011). However, the shares remain redeemable claims of members and cannot be placed with outside investors.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None of these studies compares cooperatives with banks under a common prudential methodology, which is the setting we use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and separate sector-wide differences from differences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return on assets, while the cost discipline of a focused retail model would raise it, and the tax exemption of cooperative acts raises the after-tax return mechanically, so we examine the return before tax as well.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 which institutions form the comparison group, how cumulative accounting flows are converted into rates, and how a matched estimator is weighted.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Each source is deduplicated on the institution-quarter key before merging, keeping the most complete record, and the raw panel runs from 2014Q1 to 2024Q4. The window includes the pandemic years; quarter fixed effects absorb the common shock, and the pre-2022 subperiod that contains them shows every surviving result (Section 4.6). All tables and figures are the authors' calculations from the IF.data files.</w:t>
      </w:r>
    </w:p>
    <w:p>
      <w:pPr>
        <w:jc w:val="both"/>
      </w:pPr>
      <w:r>
        <w:t xml:space="preserve">The panel is IF.data's prudential-conglomerate report, and every row carries its reporting level. Of the banks, 87 report as consolidations and 57 individually, and some switch within the window. All cooperatives report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both </w:t>
      </w:r>
      <w:r>
        <w:rPr>
          <w:rFonts w:ascii="Consolas" w:hAnsi="Consolas" w:cs="Consolas"/>
        </w:rPr>
        <w:t xml:space="preserve">b1</w:t>
      </w:r>
      <w:r>
        <w:t xml:space="preserve"> commercial banks,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eight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the cooperatives dropped are late entrants to the full methodology. Because the unit is the institution, these two outcomes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(Lei 4.595/1964), and the IF.data income fields reset at each date. The median ratio of the fourth-quarter to the first-quarter value is between 2.2 and 2.3 for every income field and close to one for balance-sheet stocks. We de-cumulate within each semester and annualise, which scales the return on assets coefficient by about 2.7 and leaves every stock-based coefficient unchanged. Second, the intermediation result is reported net of loan loss provisions, because the expense subtotal (</w:t>
      </w:r>
      <w:r>
        <w:rPr>
          <w:i/>
          <w:iCs/>
        </w:rPr>
        <w:t xml:space="preserve">b</w:t>
      </w:r>
      <w:r>
        <w:t xml:space="preserve">) contains line (</w:t>
      </w:r>
      <w:r>
        <w:rPr>
          <w:i/>
          <w:iCs/>
        </w:rPr>
        <w:t xml:space="preserve">b</w:t>
      </w:r>
      <w:r>
        <w:t xml:space="preserve">5), </w:t>
      </w:r>
      <w:r>
        <w:rPr>
          <w:i/>
          <w:iCs/>
        </w:rPr>
        <w:t xml:space="preserve">Resultado de Provisão para Créditos de Difícil Liquidação</w:t>
      </w:r>
      <w:r>
        <w:t xml:space="preserve">,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The minimum provision is a step function of the AA to H rating assigned to each operation, so the ratio reflects how the institution classifies its book and is a weak proxy for realised delinquency.</w:t>
      </w:r>
    </w:p>
    <w:p>
      <w:pPr>
        <w:jc w:val="both"/>
      </w:pPr>
      <w:r>
        <w:t xml:space="preserve">Return on assets uses line (</w:t>
      </w:r>
      <w:r>
        <w:rPr>
          <w:i/>
          <w:iCs/>
        </w:rPr>
        <w:t xml:space="preserve">j</w:t>
      </w:r>
      <w:r>
        <w:t xml:space="preserve">), net income after income tax, social contribution and profit sharing. For a cooperative this is the surplus before its allocation to reserves and to interest on member capital, which line (</w:t>
      </w:r>
      <w:r>
        <w:rPr>
          <w:i/>
          <w:iCs/>
        </w:rPr>
        <w:t xml:space="preserve">k</w:t>
      </w:r>
      <w:r>
        <w:t xml:space="preserve">) reports separately. Because cooperative acts are exempt from both taxes, Section 4 re-estimates the return on the pre-tax result, line (</w:t>
      </w:r>
      <w:r>
        <w:rPr>
          <w:i/>
          <w:iCs/>
        </w:rPr>
        <w:t xml:space="preserve">g</w:t>
      </w:r>
      <w:r>
        <w:t xml:space="preserve">).</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so it is collinear with any institution fixed effect. The estimates are therefore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on our design with six treated clusters, the clustered test rejects a true null 16 percent of the time at a nominal 5 percent level and 10 percent at a nominal 1 percent; the bootstrap rejects 10 percent and half of one percent, so its rejections at one percent are conservative while those at five percent still over-reject. The few-cluster problem concerns the system splits, which report their treated cluster counts; the main comparison rests on about 130 treated clusters, where clustered and bootstrap inference agree. Quantile coefficients carry intervals from an institution bootstrap. Several outcomes are right-skewed, so we report the conditional median alongside the conditional mean.</w:t>
      </w:r>
    </w:p>
    <w:p>
      <w:pPr>
        <w:jc w:val="both"/>
      </w:pPr>
      <w:r>
        <w:t xml:space="preserve">We classify each outcome by an explicit rule, reported in the last column of Table 2. An outcome is </w:t>
      </w:r>
      <w:r>
        <w:rPr>
          <w:i/>
          <w:iCs/>
        </w:rPr>
        <w:t xml:space="preserve">null</w:t>
      </w:r>
      <w:r>
        <w:t xml:space="preserve"> unless it is significant at five percent, with one sign, in all four specifications. A significant outcome is </w:t>
      </w:r>
      <w:r>
        <w:rPr>
          <w:i/>
          <w:iCs/>
        </w:rPr>
        <w:t xml:space="preserve">stable</w:t>
      </w:r>
      <w:r>
        <w:t xml:space="preserve"> if it stays significant under every winsorisation rule, varies by less than a factor of two across those rules, and has an average quantile coefficient between the twentieth and eightieth percentiles of at least half the conditional mean. Otherwise it is </w:t>
      </w:r>
      <w:r>
        <w:rPr>
          <w:i/>
          <w:iCs/>
        </w:rPr>
        <w:t xml:space="preserve">stable in sign</w:t>
      </w:r>
      <w:r>
        <w:t xml:space="preserve">: the direction holds, but the tails or the shape of the distribution drive the magnitude.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About half the bank population therefore has no cooperative counterpart at any size. Matching and trimming bring the standardised difference in log assets from −0.72 to close to zero. Unconditional means and medians are in the online appendix.</w:t>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eight quarterly outcomes keep their sign and significance across all four specifications and every winsorisation rule, including no winsorisation. Their retention ratios are above one, except for return on assets, which keeps most of its raw value; a size-composition artefact would shrink as size is held more tightly, although the ratio is only descriptive. By the rule of Section 3.4, credit intensity, return on assets and return volatility are stable. Capital, leverage and cost-to-income are stable in sign, while provisioning, the margin and funding are null. The capital coefficient calls for care: under controls its conditional mean is about seven times its conditional median, because the mean mostly reflects the upper tail of the bank distribution, as we show below.</w:t>
      </w:r>
    </w:p>
    <w:p>
      <w:pPr>
        <w:jc w:val="both"/>
      </w:pPr>
      <w:r>
        <w:t xml:space="preserve">Cooperatives allocate a larger share of the balance sheet to credit, by nearly a fifth of total assets under controls and by more at the conditional median. The differential moves little across the four columns and changes by less than one percentage point across winsorisation rules. Cooperatives also earn a higher return on assets, by about two percentage points under controls and somewhat less at the conditional median, a large gap by the standards of the banking literature. Their intermediation margin is indistinguishable from that of banks, so the higher return appears to come from lending volume and lower cost.</w:t>
      </w:r>
    </w:p>
    <w:p>
      <w:pPr>
        <w:jc w:val="both"/>
      </w:pPr>
      <w:r>
        <w:t xml:space="preserve">Part of the return gap is tax. Among quarters with a positive pre-tax result, the median effective rate of income tax and social contribution is about a third for banks and close to zero for cooperatives. Re-estimated on the pre-tax result, the controlled differential is about three fifths of the after-tax figure and remains significant under the bootstrap, and the conditional median keeps about five sixths of its value, but the coefficient is marginal on the matched sample and indistinguishable from zero on common support (Table A11 of the online appendix). By the rule of Section 3.4 the pre-tax differential is not established. Table 2 keeps the after-tax measure, the return that accumulates as capital, and we read the profitability result as a difference after tax. Taxes also compress the after-tax volatility of bank returns, so the after-tax comparison probably understates the stability gap. Before tax, the z-score differential is larger and the median gap in return volatility nearly doubles; the mean volatility differential is smaller, and both keep their sign and significance (Table A12 of the online appendix).</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and Figure 6 shows the cooperative median above the bank median for most of the window. Yet the size-controlled mean differential is large and negative in every column of Table 2. Figure 4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and the shaded bands of Figure 6 show the same contrast in every quarter.</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0.152]</w:t>
            </w:r>
          </w:p>
        </w:tc>
        <w:tc>
          <w:tcPr>
            <w:tcW w:w="1016" w:type="dxa"/>
          </w:tcPr>
          <w:p>
            <w:pPr>
              <w:spacing w:before="20" w:after="20" w:line="240" w:lineRule="auto"/>
              <w:jc w:val="right"/>
            </w:pPr>
            <w:r>
              <w:rPr>
                <w:sz w:val="15"/>
                <w:szCs w:val="15"/>
              </w:rPr>
              <w:t xml:space="preserve">[-0.057, 0.053]</w:t>
            </w:r>
          </w:p>
        </w:tc>
        <w:tc>
          <w:tcPr>
            <w:tcW w:w="1016" w:type="dxa"/>
          </w:tcPr>
          <w:p>
            <w:pPr>
              <w:spacing w:before="20" w:after="20" w:line="240" w:lineRule="auto"/>
              <w:jc w:val="right"/>
            </w:pPr>
            <w:r>
              <w:rPr>
                <w:sz w:val="15"/>
                <w:szCs w:val="15"/>
              </w:rPr>
              <w:t xml:space="preserve">[-0.277, -0.099]</w:t>
            </w:r>
          </w:p>
        </w:tc>
        <w:tc>
          <w:tcPr>
            <w:tcW w:w="1016" w:type="dxa"/>
          </w:tcPr>
          <w:p>
            <w:pPr>
              <w:spacing w:before="20" w:after="20" w:line="240" w:lineRule="auto"/>
              <w:jc w:val="right"/>
            </w:pPr>
            <w:r>
              <w:rPr>
                <w:sz w:val="15"/>
                <w:szCs w:val="15"/>
              </w:rPr>
              <w:t xml:space="preserve">[-0.882, -0.476]</w:t>
            </w:r>
          </w:p>
        </w:tc>
        <w:tc>
          <w:tcPr>
            <w:tcW w:w="1016" w:type="dxa"/>
          </w:tcPr>
          <w:p>
            <w:pPr>
              <w:spacing w:before="20" w:after="20" w:line="240" w:lineRule="auto"/>
              <w:jc w:val="right"/>
            </w:pPr>
            <w:r>
              <w:rPr>
                <w:sz w:val="15"/>
                <w:szCs w:val="15"/>
              </w:rPr>
              <w:t xml:space="preserve">[-2.609, -1.147]</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[0.342, 0.429]</w:t>
            </w:r>
          </w:p>
        </w:tc>
        <w:tc>
          <w:tcPr>
            <w:tcW w:w="1016" w:type="dxa"/>
          </w:tcPr>
          <w:p>
            <w:pPr>
              <w:spacing w:before="20" w:after="20" w:line="240" w:lineRule="auto"/>
              <w:jc w:val="right"/>
            </w:pPr>
            <w:r>
              <w:rPr>
                <w:sz w:val="15"/>
                <w:szCs w:val="15"/>
              </w:rPr>
              <w:t xml:space="preserve">[0.361, 0.467]</w:t>
            </w:r>
          </w:p>
        </w:tc>
        <w:tc>
          <w:tcPr>
            <w:tcW w:w="1016" w:type="dxa"/>
          </w:tcPr>
          <w:p>
            <w:pPr>
              <w:spacing w:before="20" w:after="20" w:line="240" w:lineRule="auto"/>
              <w:jc w:val="right"/>
            </w:pPr>
            <w:r>
              <w:rPr>
                <w:sz w:val="15"/>
                <w:szCs w:val="15"/>
              </w:rPr>
              <w:t xml:space="preserve">[0.137, 0.353]</w:t>
            </w:r>
          </w:p>
        </w:tc>
        <w:tc>
          <w:tcPr>
            <w:tcW w:w="1016" w:type="dxa"/>
          </w:tcPr>
          <w:p>
            <w:pPr>
              <w:spacing w:before="20" w:after="20" w:line="240" w:lineRule="auto"/>
              <w:jc w:val="right"/>
            </w:pPr>
            <w:r>
              <w:rPr>
                <w:sz w:val="15"/>
                <w:szCs w:val="15"/>
              </w:rPr>
              <w:t xml:space="preserve">[-0.100, 0.068]</w:t>
            </w:r>
          </w:p>
        </w:tc>
        <w:tc>
          <w:tcPr>
            <w:tcW w:w="1016" w:type="dxa"/>
          </w:tcPr>
          <w:p>
            <w:pPr>
              <w:spacing w:before="20" w:after="20" w:line="240" w:lineRule="auto"/>
              <w:jc w:val="right"/>
            </w:pPr>
            <w:r>
              <w:rPr>
                <w:sz w:val="15"/>
                <w:szCs w:val="15"/>
              </w:rPr>
              <w:t xml:space="preserve">[-0.219, -0.108]</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[0.016, 0.029]</w:t>
            </w:r>
          </w:p>
        </w:tc>
        <w:tc>
          <w:tcPr>
            <w:tcW w:w="1016" w:type="dxa"/>
            <w:tcBorders>
              <w:bottom w:val="single" w:sz="8" w:space="0" w:color="auto"/>
            </w:tcBorders>
          </w:tcPr>
          <w:p>
            <w:pPr>
              <w:spacing w:before="20" w:after="20" w:line="240" w:lineRule="auto"/>
              <w:jc w:val="right"/>
            </w:pPr>
            <w:r>
              <w:rPr>
                <w:sz w:val="15"/>
                <w:szCs w:val="15"/>
              </w:rPr>
              <w:t xml:space="preserve">[-0.017, 0.018]</w:t>
            </w:r>
          </w:p>
        </w:tc>
        <w:tc>
          <w:tcPr>
            <w:tcW w:w="1016" w:type="dxa"/>
            <w:tcBorders>
              <w:bottom w:val="single" w:sz="8" w:space="0" w:color="auto"/>
            </w:tcBorders>
          </w:tcPr>
          <w:p>
            <w:pPr>
              <w:spacing w:before="20" w:after="20" w:line="240" w:lineRule="auto"/>
              <w:jc w:val="right"/>
            </w:pPr>
            <w:r>
              <w:rPr>
                <w:sz w:val="15"/>
                <w:szCs w:val="15"/>
              </w:rPr>
              <w:t xml:space="preserve">[-0.093, -0.015]</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We examine two possible explanations of the bank upper tail. The first is reporting level. The tail sits among the banks that report individually, whose ninetieth percentile is far above that of the consolidations. The controlled gap against them is about four times the gap against the consolidations (online appendix). The second is business model. Requiring a bank to be deposit-funded in every quarter, the structural rung, roughly halves both the share of bank-quarters above 50 percent and the estimated mean gap, which remains significant (Figure 5). The evidence suggests that the bank upper tail is concentrated among small standalone banks with little risk-weighted exposure. Against banks that lend and take deposits, the capital difference consists of a modest gap in level and a large gap in dispersion.</w:t>
      </w:r>
    </w:p>
    <w:p>
      <w:pPr>
        <w:keepNext/>
        <w:keepLines/>
        <w:spacing w:before="120" w:after="60"/>
        <w:jc w:val="center"/>
      </w:pPr>
      <w:r>
        <w:drawing>
          <wp:inline distT="0" distB="0" distL="0" distR="0">
            <wp:extent cx="4824730" cy="2060346"/>
            <wp:docPr id="104"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4"/>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4.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The same pattern holds for the other outcomes. Averaged over the twentieth to eightieth percentiles, the differential is of similar size to the conditional mean for credit intensity and return on assets, so for those two the mean describes the typical institution.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Because the two measures share the standard deviation of return on assets, we treat them as one result, with volatility as the primary measure. Together with the return on assets result, this means that cooperatives earn higher after-tax and less volatile returns on the same intermediation margin.</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5 shows their size and precision on the same five rungs: the broad group, banks, banks within macro-region, commercial banks and structural banks. Return on assets, cost-to-income and return volatility survive on every rung; credit intensity survives on the four national rungs and not within region (Section 4.3).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4901884"/>
            <wp:docPr id="105"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5"/>
                    <a:stretch>
                      <a:fillRect/>
                    </a:stretch>
                  </pic:blipFill>
                  <pic:spPr>
                    <a:xfrm>
                      <a:off x="0" y="0"/>
                      <a:ext cx="4824730" cy="4901884"/>
                    </a:xfrm>
                    <a:prstGeom prst="rect">
                      <a:avLst/>
                    </a:prstGeom>
                  </pic:spPr>
                </pic:pic>
              </a:graphicData>
            </a:graphic>
          </wp:inline>
        </w:drawing>
      </w:r>
    </w:p>
    <w:p>
      <w:pPr>
        <w:pStyle w:val="TablaImagen-Ttulo"/>
        <w:keepNext/>
        <w:keepLines/>
        <w:spacing w:before="0" w:after="60"/>
      </w:pPr>
      <w:r>
        <w:rPr>
          <w:b/>
          <w:bCs/>
        </w:rPr>
        <w:t xml:space="preserve">Figure 5.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keepNext/>
        <w:keepLines/>
        <w:spacing w:before="120" w:after="60"/>
        <w:jc w:val="center"/>
      </w:pPr>
      <w:r>
        <w:drawing>
          <wp:inline distT="0" distB="0" distL="0" distR="0">
            <wp:extent cx="4824730" cy="3190795"/>
            <wp:docPr id="106"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6"/>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6. </w:t>
      </w:r>
      <w:r>
        <w:t xml:space="preserve">Medians and interquartile ranges, 2017 to 2024</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and under the tightest winsorisation rule the mean coefficient also turns positive and significant. Supervisory concern attaches to capital, so we also split the sample into terciles of the Basel ratio. No tercile shows cooperatives provisioning less: on the unconditional ratio the differential is positive and significant only in the middle tercile, where most cooperative quarters sit, and on the ratio residualised on size and quarter no tercile differs. Because minimum provisions are a step function of the AA to H rating of each operation, the result most likely describes how the two groups classify their books.</w:t>
      </w:r>
      <w:r>
        <w:rPr>
          <w:rStyle w:val="FootnoteReference"/>
        </w:rPr>
        <w:footnoteReference w:id="2"/>
      </w:r>
    </w:p>
    <w:p>
      <w:pPr>
        <w:jc w:val="both"/>
      </w:pPr>
      <w:r>
        <w:t xml:space="preserve">The intermediation margin behaves in the same way. It is large and highly significant against the broad group, whose non-banking members report intermediation margins several times those of banks and cooperatives relative to assets. Against banks it is small and insignificant, and against structural banks it turns positive and significant. Its sign depends on the comparison group, so we keep it as a null. The funding ratio is significant in one of four specifications and reverses sign at the conditional median, so we leave it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Cooperatives thus lend more than the national bank population, while within regional markets the difference is indistinguishable from zero. However, which estimate is the parameter of interest depends on an assumption we cannot test. If cooperatives concentrate where they do for reasons internal to member-based finance, region is a mediator and the size-only estimate is the parameter. If regional market structure is heterogeneity unrelated to form, region is a confounder and credit intensity is a null. We report the two as distinct parameters, the sector-wide and the within-market differential, and label every claim by the comparison it rests on.</w:t>
      </w:r>
    </w:p>
    <w:p>
      <w:pPr>
        <w:jc w:val="both"/>
      </w:pPr>
      <w:r>
        <w:t xml:space="preserve">One caution applies. With an effective control sample of eighteen, the within-market null may reflect low power as much as the parameter itself (Figure 5 shows the intervals). Return volatility survives the within-region comparison, while the z-score, which shares its denominator,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 test of network affiliation as such is beyond it. Cooperatives in both networks hold less regulatory capital than comparable banks, significant under the bootstrap in each. The six independents rest on five treated clusters, and their capital estimate is positive and indistinguishable from noise.</w:t>
      </w:r>
    </w:p>
    <w:p>
      <w:pPr>
        <w:jc w:val="both"/>
      </w:pPr>
      <w:r>
        <w:t xml:space="preserve">The split locates the pooled capital differential in the two large networks without explaining it. A network backstop is one candidate explanation, since a cooperative with centralised liquidity and consolidated risk management behind it may run a thinner individual cushion. The networks also differ in the size, geography, business mix and governance of their affiliates, and the split leaves the backstop entangled with these. Provisioning is insignificant in every system.</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singular cooperatives are observed under the simplified methodology before they adopt the full methodology during the window.</w:t>
      </w:r>
      <w:r>
        <w:rPr>
          <w:rStyle w:val="FootnoteReference"/>
        </w:rPr>
        <w:footnoteReference w:id="3"/>
      </w:r>
      <w:r>
        <w:t xml:space="preserve"> We compare those future adopters with cooperatives that never adopt, on pre-adoption quarters only and conditioning on size and quarter. The two groups show no difference in leverage, but adopters were less credit-intensive (−0.068, </w:t>
      </w:r>
      <w:r>
        <w:rPr>
          <w:i/>
          <w:iCs/>
        </w:rPr>
        <w:t xml:space="preserve">p</w:t>
      </w:r>
      <w:r>
        <w:t xml:space="preserve"> = 0.002) and marginally less profitable, which runs against our findings. They were also marginally leaner, which runs with them. As a result, selection likely biases the credit and profitability estimates towards zero and, if anything, the efficiency estimate marginally away from it.</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In addition, it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dropping the sector's two cooperative-owned banks, and dropping the six cooperatives that revert to the simplified methodology leave every surviving sign unchanged. The weighted and unweighted matched-sample estimates differ by less than the sampling error. All results come from one script run on the public IF.data files, with every comparison group, coarsening, winsorisation rule and check as a parameter, and the tables are generated from its output.</w:t>
      </w:r>
    </w:p>
    <w:p>
      <w:pPr>
        <w:pStyle w:val="Heading1"/>
        <w:keepNext/>
        <w:keepLines/>
        <w:numPr>
          <w:ilvl w:val="0"/>
          <w:numId w:val="0"/>
        </w:numPr>
        <w:spacing w:before="240" w:after="120"/>
        <w:ind w:left="0" w:firstLine="0"/>
      </w:pPr>
      <w:r>
        <w:t xml:space="preserve">5 Discussion</w:t>
      </w:r>
    </w:p>
    <w:p>
      <w:pPr>
        <w:jc w:val="both"/>
      </w:pPr>
      <w:r>
        <w:t xml:space="preserve">The surviving results suggest a focused retail lender. A cooperative in the full-methodology population channels a high share of its assets into member credit and runs that operation at low cost. It earns a solid after-tax return on assets on intermediation spreads similar to those of banks, and it sits in a narrow band of the capital distribution. This profile is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two fit together once the source of capital is considered.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cooperatives are more profitable after tax and less volatile, on margins indistinguishable from those of banks. Part of the profitability gap is the tax exemption of cooperative acts, and before tax the gap is smaller and not established, which narrows the disagreement. The rest may reflect our population, which is restricted to the largest cooperatives and to a common prudential methodology.</w:t>
      </w:r>
    </w:p>
    <w:p>
      <w:pPr>
        <w:jc w:val="both"/>
      </w:pPr>
      <w:r>
        <w:t xml:space="preserve">For supervision, the relevant combination is capital and provisioning taken together. At the thin end of the capital distribution, where prudential concern would attach, cooperatives hold more capital than comparable banks and provision no less, while the finding that they provision more holds only in the middle of the capital distribution. The data also show that cooperatives lack the highly capitalised upper tail that banks exhibit. Several differentials that look large at the mean are differentials in dispersion, so we give the conditional median and the quantile profile as much weight as the conditional mean.</w:t>
      </w:r>
    </w:p>
    <w:p>
      <w:pPr>
        <w:jc w:val="both"/>
      </w:pPr>
      <w:r>
        <w:t xml:space="preserve">Three analyst choices determined whether headline results existed. The first is the comparison group, which as “all non-cooperatives” imports some 160 institutions that neither lend nor raise funds. The second and third are reading IF.data income fields as quarterly flows and estimating the matched comparison by unweighted OLS on the matched sample. Some of the disagreements in the literature may reflect different comparison groups.</w:t>
      </w:r>
    </w:p>
    <w:p>
      <w:pPr>
        <w:pStyle w:val="Heading2"/>
        <w:keepNext/>
        <w:keepLines/>
        <w:numPr>
          <w:ilvl w:val="0"/>
          <w:numId w:val="0"/>
        </w:numPr>
        <w:spacing w:before="200" w:after="80"/>
        <w:ind w:left="0" w:firstLine="0"/>
      </w:pPr>
      <w:r>
        <w:t xml:space="preserve">5.1 Limitations</w:t>
      </w:r>
    </w:p>
    <w:p>
      <w:pPr>
        <w:jc w:val="both"/>
      </w:pPr>
      <w:r>
        <w:t xml:space="preserve">Six limitations bound the claims. 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Finally, a within-institution design around the adoption of the full methodology fails to identify a regime effect: adoption follows growth, which moves every balance-sheet ratio continuously,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reports the matched estimand and prints treated cluster counts beside system-level </w:t>
      </w:r>
      <w:r>
        <w:rPr>
          <w:i/>
          <w:iCs/>
        </w:rPr>
        <w:t xml:space="preserve">p</w:t>
      </w:r>
      <w:r>
        <w:t xml:space="preserve">-values; each step is inexpensive, and each changed at least one conclusion.</w:t>
      </w:r>
    </w:p>
    <w:p>
      <w:pPr>
        <w:jc w:val="both"/>
      </w:pPr>
      <w:r>
        <w:t xml:space="preserve">Our results bear on two margins of proportionality beyond size (Conselho Monetário Nacional, 2017a). Because the evidence is descriptive, we frame both as questions. The first is organisational architecture, since the capital differential is a property of the two large networks. Brazil already treats the cooperative sector as a unit for deposit insurance through the FGCoop. If the backstop hypothesis is right, a proportional framework might also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the return on assets holds after tax, and before tax the gap is smaller and unestablished. One resting on credit intensity holds against the national bank population and remains unshown within regional markets; the territorial claim is the one these data leave open, and the rural-credit modules of IF.data are the next step.</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Ayres, I., &amp; Braithwaite, J. (1992). </w:t>
      </w:r>
      <w:r>
        <w:rPr>
          <w:i/>
          <w:iCs/>
          <w:sz w:val="18"/>
          <w:szCs w:val="18"/>
        </w:rPr>
        <w:t xml:space="preserve">Responsive regulation: Transcending the deregulation debate</w:t>
      </w:r>
      <w:r>
        <w:rPr>
          <w:sz w:val="18"/>
          <w:szCs w:val="18"/>
        </w:rPr>
        <w:t xml:space="preserve">. Oxford University Press.</w:t>
      </w:r>
    </w:p>
    <w:p>
      <w:pPr>
        <w:pStyle w:val="ReferenciasBibliogrficas"/>
        <w:spacing w:after="60" w:line="240" w:lineRule="auto"/>
        <w:jc w:val="left"/>
      </w:pPr>
      <w:r>
        <w:rPr>
          <w:sz w:val="18"/>
          <w:szCs w:val="18"/>
        </w:rPr>
        <w:t xml:space="preserve">Baldwin, R., &amp; Black, J. (2008). Really responsive regulation. </w:t>
      </w:r>
      <w:r>
        <w:rPr>
          <w:i/>
          <w:iCs/>
          <w:sz w:val="18"/>
          <w:szCs w:val="18"/>
        </w:rPr>
        <w:t xml:space="preserve">Modern Law Review</w:t>
      </w:r>
      <w:r>
        <w:rPr>
          <w:sz w:val="18"/>
          <w:szCs w:val="18"/>
        </w:rPr>
        <w:t xml:space="preserve">, </w:t>
      </w:r>
      <w:r>
        <w:rPr>
          <w:i/>
          <w:iCs/>
          <w:sz w:val="18"/>
          <w:szCs w:val="18"/>
        </w:rPr>
        <w:t xml:space="preserve">71</w:t>
      </w:r>
      <w:r>
        <w:rPr>
          <w:sz w:val="18"/>
          <w:szCs w:val="18"/>
        </w:rPr>
        <w:t xml:space="preserve">(1), 59–94. https://doi.org/10.1111/j.1468-2230.2008.00681.x</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https://doi.org/10.1590/S0080-21072011000300005</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Castro Carvalho, A. P., Hohl, S., Raskopf, R., &amp; Ruhnau, S. (2017). </w:t>
      </w:r>
      <w:r>
        <w:rPr>
          <w:i/>
          <w:iCs/>
          <w:sz w:val="18"/>
          <w:szCs w:val="18"/>
        </w:rPr>
        <w:t xml:space="preserve">Proportionality in banking regulation: A cross-country comparison</w:t>
      </w:r>
      <w:r>
        <w:rPr>
          <w:sz w:val="18"/>
          <w:szCs w:val="18"/>
        </w:rPr>
        <w:t xml:space="preserve"> (FSI Insights on Policy Implementation No. 1). Bank for International Settlements, Financial Stability Institute. </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(2015a).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(2015b). </w:t>
      </w:r>
      <w:r>
        <w:rPr>
          <w:i/>
          <w:iCs/>
          <w:sz w:val="18"/>
          <w:szCs w:val="18"/>
        </w:rPr>
        <w:t xml:space="preserve">Resolução nº 4.434, de 5 de agosto de 2015. Constituição, autorização para funcionamento, funcionamento, alterações estatutárias e cancelamento de autorização para funcionamento das cooperativas de crédito</w:t>
      </w:r>
      <w:r>
        <w:rPr>
          <w:sz w:val="18"/>
          <w:szCs w:val="18"/>
        </w:rPr>
        <w:t xml:space="preserve">. Banco Central do Brasil. https://normativos.bcb.gov.br/Lists/Normativos/Attachments/48507/Res_4434_v8_P.pdf</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(2021c). </w:t>
      </w:r>
      <w:r>
        <w:rPr>
          <w:i/>
          <w:iCs/>
          <w:sz w:val="18"/>
          <w:szCs w:val="18"/>
        </w:rPr>
        <w:t xml:space="preserve">Resolução nº 4.966, de 25 de novembro de 2021. Conceitos e critérios contábeis aplicáveis a instrumentos financeiros e provisão para perdas esperadas</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segment label is revised semiannually, so five full-methodology cooperative-quarters still carry the S5 label in transition. The sample follows the reported methodology.</w:t>
      </w:r>
    </w:p>
  </w:footnote>
  <w:footnote w:id="2">
    <w:p>
      <w:pPr>
        <w:pStyle w:val="FootnoteText"/>
        <w:spacing w:after="40"/>
        <w:jc w:val="both"/>
      </w:pPr>
      <w:r>
        <w:rPr>
          <w:rStyle w:val="FootnoteReference"/>
        </w:rPr>
        <w:footnoteRef/>
      </w:r>
      <w:r>
        <w:rPr>
          <w:sz w:val="16"/>
          <w:szCs w:val="16"/>
        </w:rPr>
        <w:t xml:space="preserve"> </w:t>
      </w:r>
      <w:r>
        <w:rPr>
          <w:sz w:val="16"/>
          <w:szCs w:val="16"/>
        </w:rPr>
        <w:t xml:space="preserve">Provisioning is observed for nearly all cooperative-quarters and for about five in six bank-quarters. The missing bank-quarters are concentrated among the low-credit institutions the ladder is designed to remove, and in 2023, when coverage falls to about two thirds for banks.</w:t>
      </w:r>
    </w:p>
  </w:footnote>
  <w:footnote w:id="3">
    <w:p>
      <w:pPr>
        <w:pStyle w:val="FootnoteText"/>
        <w:spacing w:after="40"/>
        <w:jc w:val="both"/>
      </w:pPr>
      <w:r>
        <w:rPr>
          <w:rStyle w:val="FootnoteReference"/>
        </w:rPr>
        <w:footnoteRef/>
      </w:r>
      <w:r>
        <w:rPr>
          <w:sz w:val="16"/>
          <w:szCs w:val="16"/>
        </w:rPr>
        <w:t xml:space="preserve"> </w:t>
      </w:r>
      <w:r>
        <w:rPr>
          <w:sz w:val="16"/>
          <w:szCs w:val="16"/>
        </w:rPr>
        <w:t xml:space="preserve">Five cooperatives with simplified quarters only after their first full quarter are excluded from this comparison. With one adopter that also reverts, they are the six reverters of Section 4.6; including them changes no sign.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