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0AED4" w14:textId="33BD435A" w:rsidR="00E1792E" w:rsidRPr="00837592" w:rsidRDefault="00837592" w:rsidP="00837592">
      <w:r w:rsidRPr="00837592">
        <w:t>En las últimas semanas, el comportamiento de las petroleras en Bolsa ha sido muy volátil. Desde el ataque terrorista del 11 de septiembre, el precio del crudo se ha visto sometido a muchos vaivenes y opiniones. La primera caída fuerte tras el día posterior a los ataques fue debida a tres factores diferentes. Por una parte, está el “miedo a corto plazo en un retroceso de la demanda del fuel para aviones”; por otra, “un motivo más fuerte será la reducción de la demanda de petróleo y sus derivados, debido a unas condiciones económicas más débiles y al peligro de recesión; por último, “los miembros de la OPEP en agosto tenían un nivel muy bajo de cumplimiento en sus cuotas”.</w:t>
      </w:r>
    </w:p>
    <w:sectPr w:rsidR="00E1792E" w:rsidRPr="0083759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5E"/>
    <w:rsid w:val="000040CB"/>
    <w:rsid w:val="001355B7"/>
    <w:rsid w:val="002A6202"/>
    <w:rsid w:val="00484A49"/>
    <w:rsid w:val="006C325E"/>
    <w:rsid w:val="00837592"/>
    <w:rsid w:val="00DD3D51"/>
    <w:rsid w:val="00E1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AEC7F"/>
  <w15:chartTrackingRefBased/>
  <w15:docId w15:val="{3FD38278-3C02-4D70-B565-9385757FB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576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OPTIPLEX 3040</dc:creator>
  <cp:keywords/>
  <dc:description/>
  <cp:lastModifiedBy>OPTIPLEX 3040</cp:lastModifiedBy>
  <cp:revision>2</cp:revision>
  <dcterms:created xsi:type="dcterms:W3CDTF">2025-11-05T05:50:00Z</dcterms:created>
  <dcterms:modified xsi:type="dcterms:W3CDTF">2025-11-05T05:50:00Z</dcterms:modified>
</cp:coreProperties>
</file>