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F72"/>
          <w:sz w:val="72"/>
          <w:szCs w:val="72"/>
        </w:rPr>
        <w:t xml:space="preserve">CompliPilot</w:t>
      </w:r>
    </w:p>
    <w:p>
      <w:pPr>
        <w:spacing w:after="100"/>
        <w:jc w:val="center"/>
      </w:pPr>
      <w:r>
        <w:rPr>
          <w:rFonts w:ascii="Calibri" w:cs="Calibri" w:eastAsia="Calibri" w:hAnsi="Calibri"/>
          <w:color w:val="2C3E50"/>
          <w:sz w:val="36"/>
          <w:szCs w:val="36"/>
        </w:rPr>
        <w:t xml:space="preserve">AI Compliance Copilot for Indian SMBs</w:t>
      </w:r>
    </w:p>
    <w:p>
      <w:pPr>
        <w:pBdr>
          <w:bottom w:val="single" w:color="1B4F72" w:sz="6"/>
        </w:pBdr>
        <w:spacing w:after="200" w:before="200"/>
      </w:pPr>
    </w:p>
    <w:p>
      <w:pPr>
        <w:spacing w:after="80"/>
        <w:jc w:val="center"/>
      </w:pPr>
      <w:r>
        <w:rPr>
          <w:rFonts w:ascii="Calibri" w:cs="Calibri" w:eastAsia="Calibri" w:hAnsi="Calibri"/>
          <w:color w:val="1B4F72"/>
          <w:sz w:val="28"/>
          <w:szCs w:val="28"/>
        </w:rPr>
        <w:t xml:space="preserve">System Design Document</w:t>
      </w:r>
    </w:p>
    <w:p>
      <w:pPr>
        <w:spacing w:before="600"/>
      </w:pPr>
    </w:p>
    <w:p>
      <w:pPr>
        <w:jc w:val="center"/>
      </w:pPr>
      <w:r>
        <w:rPr>
          <w:rFonts w:ascii="Calibri" w:cs="Calibri" w:eastAsia="Calibri" w:hAnsi="Calibri"/>
          <w:sz w:val="22"/>
          <w:szCs w:val="22"/>
        </w:rPr>
        <w:t xml:space="preserve">Version 1.0</w:t>
      </w:r>
    </w:p>
    <w:p>
      <w:pPr>
        <w:jc w:val="center"/>
      </w:pPr>
      <w:r>
        <w:rPr>
          <w:rFonts w:ascii="Calibri" w:cs="Calibri" w:eastAsia="Calibri" w:hAnsi="Calibri"/>
          <w:sz w:val="22"/>
          <w:szCs w:val="22"/>
        </w:rPr>
        <w:t xml:space="preserve">August 2026</w:t>
      </w:r>
    </w:p>
    <w:p>
      <w:pPr>
        <w:spacing w:before="200"/>
        <w:jc w:val="center"/>
      </w:pPr>
      <w:r>
        <w:rPr>
          <w:rFonts w:ascii="Calibri" w:cs="Calibri" w:eastAsia="Calibri" w:hAnsi="Calibri"/>
          <w:color w:val="1B4F72"/>
          <w:sz w:val="22"/>
          <w:szCs w:val="22"/>
        </w:rPr>
        <w:t xml:space="preserve">Apprend Technologies</w:t>
      </w:r>
    </w:p>
    <w:p>
      <w:r>
        <w:br w:type="page"/>
      </w:r>
    </w:p>
    <w:p>
      <w:pPr>
        <w:pStyle w:val="Heading1"/>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jc w:val="left"/>
      </w:pPr>
      <w:r>
        <w:rPr>
          <w:rFonts w:ascii="Calibri" w:cs="Calibri" w:eastAsia="Calibri" w:hAnsi="Calibri"/>
          <w:sz w:val="22"/>
          <w:szCs w:val="22"/>
        </w:rPr>
        <w:t xml:space="preserve">CompliPilot is a unified AI-driven compliance platform designed to simplify regulatory obligations for Indian small and medium businesses and Chartered Accountant (CA) firms. Building on the foundation of GSTBot, CompliPilot extends coverage across the full spectrum of Indian regulatory requirements: RBI regulations, SEBI compliance, MCA filings, FEMA obligations, labor laws, and the Digital Personal Data Protection (DPDP) Act.</w:t>
      </w:r>
    </w:p>
    <w:p>
      <w:pPr>
        <w:spacing w:after="120"/>
        <w:jc w:val="left"/>
      </w:pPr>
      <w:r>
        <w:rPr>
          <w:rFonts w:ascii="Calibri" w:cs="Calibri" w:eastAsia="Calibri" w:hAnsi="Calibri"/>
          <w:sz w:val="22"/>
          <w:szCs w:val="22"/>
        </w:rPr>
        <w:t xml:space="preserve">Indian SMBs face an increasingly complex regulatory environment with over 1,500 compliance obligations across central and state governments. Non-compliance penalties range from monetary fines to criminal prosecution. Most SMBs rely on manual tracking via spreadsheets and periodic CA consultations, leading to missed deadlines and costly penalties.</w:t>
      </w:r>
    </w:p>
    <w:p>
      <w:pPr>
        <w:spacing w:after="120"/>
        <w:jc w:val="left"/>
      </w:pPr>
      <w:r>
        <w:rPr>
          <w:rFonts w:ascii="Calibri" w:cs="Calibri" w:eastAsia="Calibri" w:hAnsi="Calibri"/>
          <w:sz w:val="22"/>
          <w:szCs w:val="22"/>
        </w:rPr>
        <w:t xml:space="preserve">CompliPilot automates compliance tracking, filing generation, regulatory change monitoring, and deadline management through an AI-powered platform. The system ingests regulatory updates from government gazettes, circulars, and notifications, analyzes their impact on each client's specific obligations, and generates actionable alerts with recommended actions.</w:t>
      </w:r>
    </w:p>
    <w:p>
      <w:pPr>
        <w:spacing w:after="120"/>
      </w:pPr>
      <w:r>
        <w:rPr>
          <w:rFonts w:ascii="Calibri" w:cs="Calibri" w:eastAsia="Calibri" w:hAnsi="Calibri"/>
          <w:b/>
          <w:bCs/>
          <w:sz w:val="22"/>
          <w:szCs w:val="22"/>
        </w:rPr>
        <w:t xml:space="preserve">Target Users: </w:t>
      </w:r>
      <w:r>
        <w:rPr>
          <w:rFonts w:ascii="Calibri" w:cs="Calibri" w:eastAsia="Calibri" w:hAnsi="Calibri"/>
          <w:sz w:val="22"/>
          <w:szCs w:val="22"/>
        </w:rPr>
        <w:t xml:space="preserve">Indian SMBs (direct compliance management), CA firms (managing compliance for multiple clients), and mid-size enterprises with dedicated compliance teams.</w:t>
      </w:r>
    </w:p>
    <w:p>
      <w:pPr>
        <w:spacing w:after="120"/>
      </w:pPr>
      <w:r>
        <w:rPr>
          <w:rFonts w:ascii="Calibri" w:cs="Calibri" w:eastAsia="Calibri" w:hAnsi="Calibri"/>
          <w:b/>
          <w:bCs/>
          <w:sz w:val="22"/>
          <w:szCs w:val="22"/>
        </w:rPr>
        <w:t xml:space="preserve">Key Differentiator: </w:t>
      </w:r>
      <w:r>
        <w:rPr>
          <w:rFonts w:ascii="Calibri" w:cs="Calibri" w:eastAsia="Calibri" w:hAnsi="Calibri"/>
          <w:sz w:val="22"/>
          <w:szCs w:val="22"/>
        </w:rPr>
        <w:t xml:space="preserve">Unified multi-regulation coverage with AI-powered impact analysis, proactive regulatory change alerts, and automated filing generation, all built for the Indian regulatory landscape.</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pStyle w:val="Heading2"/>
        <w:spacing w:after="160" w:before="280"/>
      </w:pPr>
      <w:r>
        <w:rPr>
          <w:rFonts w:ascii="Calibri" w:cs="Calibri" w:eastAsia="Calibri" w:hAnsi="Calibri"/>
          <w:b/>
          <w:bCs/>
          <w:color w:val="1B4F72"/>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shd w:fill="1B4F72" w:color="auto" w:val="clear"/>
            <w:vAlign w:val="center"/>
          </w:tcPr>
          <w:p>
            <w:pPr>
              <w:spacing w:after="60" w:before="60"/>
            </w:pPr>
            <w:r>
              <w:rPr>
                <w:rFonts w:ascii="Calibri" w:cs="Calibri" w:eastAsia="Calibri" w:hAnsi="Calibri"/>
                <w:b/>
                <w:bCs/>
                <w:color w:val="FFFFFF"/>
                <w:sz w:val="20"/>
                <w:szCs w:val="20"/>
              </w:rPr>
              <w:t xml:space="preserve">Layer</w:t>
            </w:r>
          </w:p>
        </w:tc>
        <w:tc>
          <w:tcPr>
            <w:tcW w:type="dxa" w:w="3000"/>
            <w:shd w:fill="1B4F72" w:color="auto" w:val="clear"/>
            <w:vAlign w:val="center"/>
          </w:tcPr>
          <w:p>
            <w:pPr>
              <w:spacing w:after="60" w:before="60"/>
            </w:pPr>
            <w:r>
              <w:rPr>
                <w:rFonts w:ascii="Calibri" w:cs="Calibri" w:eastAsia="Calibri" w:hAnsi="Calibri"/>
                <w:b/>
                <w:bCs/>
                <w:color w:val="FFFFFF"/>
                <w:sz w:val="20"/>
                <w:szCs w:val="20"/>
              </w:rPr>
              <w:t xml:space="preserve">Technology</w:t>
            </w:r>
          </w:p>
        </w:tc>
        <w:tc>
          <w:tcPr>
            <w:tcW w:type="dxa" w:w="4160"/>
            <w:shd w:fill="1B4F72" w:color="auto" w:val="clear"/>
            <w:vAlign w:val="center"/>
          </w:tcPr>
          <w:p>
            <w:pPr>
              <w:spacing w:after="60" w:before="60"/>
            </w:pPr>
            <w:r>
              <w:rPr>
                <w:rFonts w:ascii="Calibri" w:cs="Calibri" w:eastAsia="Calibri" w:hAnsi="Calibri"/>
                <w:b/>
                <w:bCs/>
                <w:color w:val="FFFFFF"/>
                <w:sz w:val="20"/>
                <w:szCs w:val="20"/>
              </w:rPr>
              <w:t xml:space="preserve">Purpose</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Runtime</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Python 3.11+</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Backend services, regulatory parsers</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Backend Framework</w:t>
            </w:r>
          </w:p>
        </w:tc>
        <w:tc>
          <w:tcPr>
            <w:tcW w:type="dxa" w:w="3000"/>
            <w:vAlign w:val="center"/>
          </w:tcPr>
          <w:p>
            <w:pPr>
              <w:spacing w:after="60" w:before="60"/>
            </w:pPr>
            <w:r>
              <w:rPr>
                <w:rFonts w:ascii="Calibri" w:cs="Calibri" w:eastAsia="Calibri" w:hAnsi="Calibri"/>
                <w:b w:val="false"/>
                <w:bCs w:val="false"/>
                <w:color w:val="000000"/>
                <w:sz w:val="20"/>
                <w:szCs w:val="20"/>
              </w:rPr>
              <w:t xml:space="preserve">FastAPI</w:t>
            </w:r>
          </w:p>
        </w:tc>
        <w:tc>
          <w:tcPr>
            <w:tcW w:type="dxa" w:w="4160"/>
            <w:vAlign w:val="center"/>
          </w:tcPr>
          <w:p>
            <w:pPr>
              <w:spacing w:after="60" w:before="60"/>
            </w:pPr>
            <w:r>
              <w:rPr>
                <w:rFonts w:ascii="Calibri" w:cs="Calibri" w:eastAsia="Calibri" w:hAnsi="Calibri"/>
                <w:b w:val="false"/>
                <w:bCs w:val="false"/>
                <w:color w:val="000000"/>
                <w:sz w:val="20"/>
                <w:szCs w:val="20"/>
              </w:rPr>
              <w:t xml:space="preserve">REST API, background tasks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Frontend</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React / Next.js 14</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Compliance dashboard, filing editor</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Primary Database</w:t>
            </w:r>
          </w:p>
        </w:tc>
        <w:tc>
          <w:tcPr>
            <w:tcW w:type="dxa" w:w="3000"/>
            <w:vAlign w:val="center"/>
          </w:tcPr>
          <w:p>
            <w:pPr>
              <w:spacing w:after="60" w:before="60"/>
            </w:pPr>
            <w:r>
              <w:rPr>
                <w:rFonts w:ascii="Calibri" w:cs="Calibri" w:eastAsia="Calibri" w:hAnsi="Calibri"/>
                <w:b w:val="false"/>
                <w:bCs w:val="false"/>
                <w:color w:val="000000"/>
                <w:sz w:val="20"/>
                <w:szCs w:val="20"/>
              </w:rPr>
              <w:t xml:space="preserve">PostgreSQL 16</w:t>
            </w:r>
          </w:p>
        </w:tc>
        <w:tc>
          <w:tcPr>
            <w:tcW w:type="dxa" w:w="4160"/>
            <w:vAlign w:val="center"/>
          </w:tcPr>
          <w:p>
            <w:pPr>
              <w:spacing w:after="60" w:before="60"/>
            </w:pPr>
            <w:r>
              <w:rPr>
                <w:rFonts w:ascii="Calibri" w:cs="Calibri" w:eastAsia="Calibri" w:hAnsi="Calibri"/>
                <w:b w:val="false"/>
                <w:bCs w:val="false"/>
                <w:color w:val="000000"/>
                <w:sz w:val="20"/>
                <w:szCs w:val="20"/>
              </w:rPr>
              <w:t xml:space="preserve">Compliance data, filing records, audit logs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Cache / Queue</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Redis 7 + BullMQ</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Deadline scheduler, notification queue</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Vector Store</w:t>
            </w:r>
          </w:p>
        </w:tc>
        <w:tc>
          <w:tcPr>
            <w:tcW w:type="dxa" w:w="3000"/>
            <w:vAlign w:val="center"/>
          </w:tcPr>
          <w:p>
            <w:pPr>
              <w:spacing w:after="60" w:before="60"/>
            </w:pPr>
            <w:r>
              <w:rPr>
                <w:rFonts w:ascii="Calibri" w:cs="Calibri" w:eastAsia="Calibri" w:hAnsi="Calibri"/>
                <w:b w:val="false"/>
                <w:bCs w:val="false"/>
                <w:color w:val="000000"/>
                <w:sz w:val="20"/>
                <w:szCs w:val="20"/>
              </w:rPr>
              <w:t xml:space="preserve">Qdrant</w:t>
            </w:r>
          </w:p>
        </w:tc>
        <w:tc>
          <w:tcPr>
            <w:tcW w:type="dxa" w:w="4160"/>
            <w:vAlign w:val="center"/>
          </w:tcPr>
          <w:p>
            <w:pPr>
              <w:spacing w:after="60" w:before="60"/>
            </w:pPr>
            <w:r>
              <w:rPr>
                <w:rFonts w:ascii="Calibri" w:cs="Calibri" w:eastAsia="Calibri" w:hAnsi="Calibri"/>
                <w:b w:val="false"/>
                <w:bCs w:val="false"/>
                <w:color w:val="000000"/>
                <w:sz w:val="20"/>
                <w:szCs w:val="20"/>
              </w:rPr>
              <w:t xml:space="preserve">Regulatory text embeddings for semantic search</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AI Gateway</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OpenRouter</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LLM for document analysis and filing generation</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Document Parser</w:t>
            </w:r>
          </w:p>
        </w:tc>
        <w:tc>
          <w:tcPr>
            <w:tcW w:type="dxa" w:w="3000"/>
            <w:vAlign w:val="center"/>
          </w:tcPr>
          <w:p>
            <w:pPr>
              <w:spacing w:after="60" w:before="60"/>
            </w:pPr>
            <w:r>
              <w:rPr>
                <w:rFonts w:ascii="Calibri" w:cs="Calibri" w:eastAsia="Calibri" w:hAnsi="Calibri"/>
                <w:b w:val="false"/>
                <w:bCs w:val="false"/>
                <w:color w:val="000000"/>
                <w:sz w:val="20"/>
                <w:szCs w:val="20"/>
              </w:rPr>
              <w:t xml:space="preserve">Apache Tika + Custom</w:t>
            </w:r>
          </w:p>
        </w:tc>
        <w:tc>
          <w:tcPr>
            <w:tcW w:type="dxa" w:w="4160"/>
            <w:vAlign w:val="center"/>
          </w:tcPr>
          <w:p>
            <w:pPr>
              <w:spacing w:after="60" w:before="60"/>
            </w:pPr>
            <w:r>
              <w:rPr>
                <w:rFonts w:ascii="Calibri" w:cs="Calibri" w:eastAsia="Calibri" w:hAnsi="Calibri"/>
                <w:b w:val="false"/>
                <w:bCs w:val="false"/>
                <w:color w:val="000000"/>
                <w:sz w:val="20"/>
                <w:szCs w:val="20"/>
              </w:rPr>
              <w:t xml:space="preserve">PDF/gazette parsing pipeline</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Notification</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WhatsApp + Email + SMS</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Multi-channel compliance alerts</w:t>
            </w:r>
          </w:p>
        </w:tc>
      </w:tr>
    </w:tbl>
    <w:p>
      <w:pPr>
        <w:pStyle w:val="Heading2"/>
        <w:spacing w:after="160" w:before="280"/>
      </w:pPr>
      <w:r>
        <w:rPr>
          <w:rFonts w:ascii="Calibri" w:cs="Calibri" w:eastAsia="Calibri" w:hAnsi="Calibri"/>
          <w:b/>
          <w:bCs/>
          <w:color w:val="1B4F72"/>
          <w:sz w:val="26"/>
          <w:szCs w:val="26"/>
        </w:rPr>
        <w:t xml:space="preserve">2.2 Regulatory Data Pipeline</w:t>
      </w:r>
    </w:p>
    <w:p>
      <w:pPr>
        <w:spacing w:after="120"/>
        <w:jc w:val="left"/>
      </w:pPr>
      <w:r>
        <w:rPr>
          <w:rFonts w:ascii="Calibri" w:cs="Calibri" w:eastAsia="Calibri" w:hAnsi="Calibri"/>
          <w:sz w:val="22"/>
          <w:szCs w:val="22"/>
        </w:rPr>
        <w:t xml:space="preserve">The regulatory data pipeline continuously monitors government sources for new circulars, notifications, and amendments:</w:t>
      </w:r>
    </w:p>
    <w:p>
      <w:pPr>
        <w:spacing w:after="120"/>
        <w:jc w:val="left"/>
      </w:pPr>
      <w:r>
        <w:rPr>
          <w:rFonts w:ascii="Calibri" w:cs="Calibri" w:eastAsia="Calibri" w:hAnsi="Calibri"/>
          <w:sz w:val="22"/>
          <w:szCs w:val="22"/>
        </w:rPr>
        <w:t xml:space="preserve">1. Gazette Scraper: Automated scraping of official sources including the Official Gazette of India, MCA portal, RBI circulars, SEBI notifications, and state government bulletins.</w:t>
      </w:r>
    </w:p>
    <w:p>
      <w:pPr>
        <w:spacing w:after="120"/>
        <w:jc w:val="left"/>
      </w:pPr>
      <w:r>
        <w:rPr>
          <w:rFonts w:ascii="Calibri" w:cs="Calibri" w:eastAsia="Calibri" w:hAnsi="Calibri"/>
          <w:sz w:val="22"/>
          <w:szCs w:val="22"/>
        </w:rPr>
        <w:t xml:space="preserve">2. Document Parser: Extracts structured data from PDFs, HTML pages, and scanned documents using OCR where necessary.</w:t>
      </w:r>
    </w:p>
    <w:p>
      <w:pPr>
        <w:spacing w:after="120"/>
        <w:jc w:val="left"/>
      </w:pPr>
      <w:r>
        <w:rPr>
          <w:rFonts w:ascii="Calibri" w:cs="Calibri" w:eastAsia="Calibri" w:hAnsi="Calibri"/>
          <w:sz w:val="22"/>
          <w:szCs w:val="22"/>
        </w:rPr>
        <w:t xml:space="preserve">3. Regulatory Analyzer: LLM-powered analysis that classifies the regulatory update by domain, identifies affected entity types, and extracts key compliance requirements.</w:t>
      </w:r>
    </w:p>
    <w:p>
      <w:pPr>
        <w:spacing w:after="120"/>
        <w:jc w:val="left"/>
      </w:pPr>
      <w:r>
        <w:rPr>
          <w:rFonts w:ascii="Calibri" w:cs="Calibri" w:eastAsia="Calibri" w:hAnsi="Calibri"/>
          <w:sz w:val="22"/>
          <w:szCs w:val="22"/>
        </w:rPr>
        <w:t xml:space="preserve">4. Vector Indexing: Regulatory text is chunked and embedded into Qdrant for semantic search and contextual retrieval during impact analysis.</w:t>
      </w:r>
    </w:p>
    <w:p>
      <w:pPr>
        <w:spacing w:after="120"/>
        <w:jc w:val="left"/>
      </w:pPr>
      <w:r>
        <w:rPr>
          <w:rFonts w:ascii="Calibri" w:cs="Calibri" w:eastAsia="Calibri" w:hAnsi="Calibri"/>
          <w:sz w:val="22"/>
          <w:szCs w:val="22"/>
        </w:rPr>
        <w:t xml:space="preserve">5. Impact Mapper: Cross-references new regulations against each client's profile (entity type, industry, state, turnover) to generate personalized impact assessments.</w:t>
      </w:r>
    </w:p>
    <w:p>
      <w:pPr>
        <w:spacing w:after="120"/>
        <w:jc w:val="left"/>
      </w:pPr>
      <w:r>
        <w:rPr>
          <w:rFonts w:ascii="Calibri" w:cs="Calibri" w:eastAsia="Calibri" w:hAnsi="Calibri"/>
          <w:sz w:val="22"/>
          <w:szCs w:val="22"/>
        </w:rPr>
        <w:t xml:space="preserve">6. Alert Dispatcher: Sends targeted notifications via WhatsApp, email, and SMS based on client notification preferences and urgency level.</w:t>
      </w:r>
    </w:p>
    <w:p>
      <w:pPr>
        <w:pStyle w:val="Heading2"/>
        <w:spacing w:after="160" w:before="280"/>
      </w:pPr>
      <w:r>
        <w:rPr>
          <w:rFonts w:ascii="Calibri" w:cs="Calibri" w:eastAsia="Calibri" w:hAnsi="Calibri"/>
          <w:b/>
          <w:bCs/>
          <w:color w:val="1B4F72"/>
          <w:sz w:val="26"/>
          <w:szCs w:val="26"/>
        </w:rPr>
        <w:t xml:space="preserve">2.3 Multi-tenant Architecture</w:t>
      </w:r>
    </w:p>
    <w:p>
      <w:pPr>
        <w:spacing w:after="120"/>
        <w:jc w:val="left"/>
      </w:pPr>
      <w:r>
        <w:rPr>
          <w:rFonts w:ascii="Calibri" w:cs="Calibri" w:eastAsia="Calibri" w:hAnsi="Calibri"/>
          <w:sz w:val="22"/>
          <w:szCs w:val="22"/>
        </w:rPr>
        <w:t xml:space="preserve">CompliPilot supports a CA firm to client hierarchy. A CA firm is the primary tenant with multiple client organizations underneath. Each client organization has its own set of compliance obligations, filings, and documents. CA firm users can switch between client contexts seamlessly.</w:t>
      </w:r>
    </w:p>
    <w:p>
      <w:pPr>
        <w:spacing w:after="120"/>
        <w:jc w:val="left"/>
      </w:pPr>
      <w:r>
        <w:rPr>
          <w:rFonts w:ascii="Calibri" w:cs="Calibri" w:eastAsia="Calibri" w:hAnsi="Calibri"/>
          <w:sz w:val="22"/>
          <w:szCs w:val="22"/>
        </w:rPr>
        <w:t xml:space="preserve">PostgreSQL Row-Level Security (RLS) enforces tenant isolation at the database level. Every query includes organization_id filtering. Redis keys follow the pattern complipilot:{orgId}:{resource}:{id}.</w:t>
      </w:r>
    </w:p>
    <w:p>
      <w:r>
        <w:br w:type="page"/>
      </w:r>
    </w:p>
    <w:p>
      <w:pPr>
        <w:pStyle w:val="Heading1"/>
        <w:spacing w:after="200" w:before="360"/>
      </w:pPr>
      <w:r>
        <w:rPr>
          <w:rFonts w:ascii="Calibri" w:cs="Calibri" w:eastAsia="Calibri" w:hAnsi="Calibri"/>
          <w:b/>
          <w:bCs/>
          <w:color w:val="1B4F72"/>
          <w:sz w:val="32"/>
          <w:szCs w:val="32"/>
        </w:rPr>
        <w:t xml:space="preserve">3. Data Model</w:t>
      </w:r>
    </w:p>
    <w:p>
      <w:pPr>
        <w:pStyle w:val="Heading2"/>
        <w:spacing w:after="160" w:before="280"/>
      </w:pPr>
      <w:r>
        <w:rPr>
          <w:rFonts w:ascii="Calibri" w:cs="Calibri" w:eastAsia="Calibri" w:hAnsi="Calibri"/>
          <w:b/>
          <w:bCs/>
          <w:color w:val="1B4F72"/>
          <w:sz w:val="26"/>
          <w:szCs w:val="26"/>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shd w:fill="1B4F72" w:color="auto" w:val="clear"/>
            <w:vAlign w:val="center"/>
          </w:tcPr>
          <w:p>
            <w:pPr>
              <w:spacing w:after="60" w:before="60"/>
            </w:pPr>
            <w:r>
              <w:rPr>
                <w:rFonts w:ascii="Calibri" w:cs="Calibri" w:eastAsia="Calibri" w:hAnsi="Calibri"/>
                <w:b/>
                <w:bCs/>
                <w:color w:val="FFFFFF"/>
                <w:sz w:val="20"/>
                <w:szCs w:val="20"/>
              </w:rPr>
              <w:t xml:space="preserve">Table</w:t>
            </w:r>
          </w:p>
        </w:tc>
        <w:tc>
          <w:tcPr>
            <w:tcW w:type="dxa" w:w="3000"/>
            <w:shd w:fill="1B4F72" w:color="auto" w:val="clear"/>
            <w:vAlign w:val="center"/>
          </w:tcPr>
          <w:p>
            <w:pPr>
              <w:spacing w:after="60" w:before="60"/>
            </w:pPr>
            <w:r>
              <w:rPr>
                <w:rFonts w:ascii="Calibri" w:cs="Calibri" w:eastAsia="Calibri" w:hAnsi="Calibri"/>
                <w:b/>
                <w:bCs/>
                <w:color w:val="FFFFFF"/>
                <w:sz w:val="20"/>
                <w:szCs w:val="20"/>
              </w:rPr>
              <w:t xml:space="preserve">Description</w:t>
            </w:r>
          </w:p>
        </w:tc>
        <w:tc>
          <w:tcPr>
            <w:tcW w:type="dxa" w:w="3960"/>
            <w:shd w:fill="1B4F72" w:color="auto" w:val="clear"/>
            <w:vAlign w:val="center"/>
          </w:tcPr>
          <w:p>
            <w:pPr>
              <w:spacing w:after="60" w:before="60"/>
            </w:pPr>
            <w:r>
              <w:rPr>
                <w:rFonts w:ascii="Calibri" w:cs="Calibri" w:eastAsia="Calibri" w:hAnsi="Calibri"/>
                <w:b/>
                <w:bCs/>
                <w:color w:val="FFFFFF"/>
                <w:sz w:val="20"/>
                <w:szCs w:val="20"/>
              </w:rPr>
              <w:t xml:space="preserve">Key Fields</w:t>
            </w:r>
          </w:p>
        </w:tc>
      </w:tr>
      <w:tr>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organizations</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CA firms and client companies</w:t>
            </w:r>
          </w:p>
        </w:tc>
        <w:tc>
          <w:tcPr>
            <w:tcW w:type="dxa" w:w="3960"/>
            <w:shd w:fill="D6EAF8" w:color="auto" w:val="clear"/>
            <w:vAlign w:val="center"/>
          </w:tcPr>
          <w:p>
            <w:pPr>
              <w:spacing w:after="60" w:before="60"/>
            </w:pPr>
            <w:r>
              <w:rPr>
                <w:rFonts w:ascii="Calibri" w:cs="Calibri" w:eastAsia="Calibri" w:hAnsi="Calibri"/>
                <w:b w:val="false"/>
                <w:bCs w:val="false"/>
                <w:color w:val="000000"/>
                <w:sz w:val="20"/>
                <w:szCs w:val="20"/>
              </w:rPr>
              <w:t xml:space="preserve">id, name, type (ca_firm/company), gstin, pan, cin, state, industry</w:t>
            </w:r>
          </w:p>
        </w:tc>
      </w:tr>
      <w:tr>
        <w:tc>
          <w:tcPr>
            <w:tcW w:type="dxa" w:w="2400"/>
            <w:vAlign w:val="center"/>
          </w:tcPr>
          <w:p>
            <w:pPr>
              <w:spacing w:after="60" w:before="60"/>
            </w:pPr>
            <w:r>
              <w:rPr>
                <w:rFonts w:ascii="Calibri" w:cs="Calibri" w:eastAsia="Calibri" w:hAnsi="Calibri"/>
                <w:b w:val="false"/>
                <w:bCs w:val="false"/>
                <w:color w:val="000000"/>
                <w:sz w:val="20"/>
                <w:szCs w:val="20"/>
              </w:rPr>
              <w:t xml:space="preserve">clients</w:t>
            </w:r>
          </w:p>
        </w:tc>
        <w:tc>
          <w:tcPr>
            <w:tcW w:type="dxa" w:w="3000"/>
            <w:vAlign w:val="center"/>
          </w:tcPr>
          <w:p>
            <w:pPr>
              <w:spacing w:after="60" w:before="60"/>
            </w:pPr>
            <w:r>
              <w:rPr>
                <w:rFonts w:ascii="Calibri" w:cs="Calibri" w:eastAsia="Calibri" w:hAnsi="Calibri"/>
                <w:b w:val="false"/>
                <w:bCs w:val="false"/>
                <w:color w:val="000000"/>
                <w:sz w:val="20"/>
                <w:szCs w:val="20"/>
              </w:rPr>
              <w:t xml:space="preserve">CA firm to client mapping</w:t>
            </w:r>
          </w:p>
        </w:tc>
        <w:tc>
          <w:tcPr>
            <w:tcW w:type="dxa" w:w="3960"/>
            <w:vAlign w:val="center"/>
          </w:tcPr>
          <w:p>
            <w:pPr>
              <w:spacing w:after="60" w:before="60"/>
            </w:pPr>
            <w:r>
              <w:rPr>
                <w:rFonts w:ascii="Calibri" w:cs="Calibri" w:eastAsia="Calibri" w:hAnsi="Calibri"/>
                <w:b w:val="false"/>
                <w:bCs w:val="false"/>
                <w:color w:val="000000"/>
                <w:sz w:val="20"/>
                <w:szCs w:val="20"/>
              </w:rPr>
              <w:t xml:space="preserve">id, ca_firm_id, org_id, engagement_type, start_date, status</w:t>
            </w:r>
          </w:p>
        </w:tc>
      </w:tr>
      <w:tr>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compliance_obligations</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Regulatory requirements catalog</w:t>
            </w:r>
          </w:p>
        </w:tc>
        <w:tc>
          <w:tcPr>
            <w:tcW w:type="dxa" w:w="3960"/>
            <w:shd w:fill="D6EAF8" w:color="auto" w:val="clear"/>
            <w:vAlign w:val="center"/>
          </w:tcPr>
          <w:p>
            <w:pPr>
              <w:spacing w:after="60" w:before="60"/>
            </w:pPr>
            <w:r>
              <w:rPr>
                <w:rFonts w:ascii="Calibri" w:cs="Calibri" w:eastAsia="Calibri" w:hAnsi="Calibri"/>
                <w:b w:val="false"/>
                <w:bCs w:val="false"/>
                <w:color w:val="000000"/>
                <w:sz w:val="20"/>
                <w:szCs w:val="20"/>
              </w:rPr>
              <w:t xml:space="preserve">id, regulation, section, description, frequency, entity_types_json</w:t>
            </w:r>
          </w:p>
        </w:tc>
      </w:tr>
      <w:tr>
        <w:tc>
          <w:tcPr>
            <w:tcW w:type="dxa" w:w="2400"/>
            <w:vAlign w:val="center"/>
          </w:tcPr>
          <w:p>
            <w:pPr>
              <w:spacing w:after="60" w:before="60"/>
            </w:pPr>
            <w:r>
              <w:rPr>
                <w:rFonts w:ascii="Calibri" w:cs="Calibri" w:eastAsia="Calibri" w:hAnsi="Calibri"/>
                <w:b w:val="false"/>
                <w:bCs w:val="false"/>
                <w:color w:val="000000"/>
                <w:sz w:val="20"/>
                <w:szCs w:val="20"/>
              </w:rPr>
              <w:t xml:space="preserve">filings</w:t>
            </w:r>
          </w:p>
        </w:tc>
        <w:tc>
          <w:tcPr>
            <w:tcW w:type="dxa" w:w="3000"/>
            <w:vAlign w:val="center"/>
          </w:tcPr>
          <w:p>
            <w:pPr>
              <w:spacing w:after="60" w:before="60"/>
            </w:pPr>
            <w:r>
              <w:rPr>
                <w:rFonts w:ascii="Calibri" w:cs="Calibri" w:eastAsia="Calibri" w:hAnsi="Calibri"/>
                <w:b w:val="false"/>
                <w:bCs w:val="false"/>
                <w:color w:val="000000"/>
                <w:sz w:val="20"/>
                <w:szCs w:val="20"/>
              </w:rPr>
              <w:t xml:space="preserve">Individual filing instances</w:t>
            </w:r>
          </w:p>
        </w:tc>
        <w:tc>
          <w:tcPr>
            <w:tcW w:type="dxa" w:w="3960"/>
            <w:vAlign w:val="center"/>
          </w:tcPr>
          <w:p>
            <w:pPr>
              <w:spacing w:after="60" w:before="60"/>
            </w:pPr>
            <w:r>
              <w:rPr>
                <w:rFonts w:ascii="Calibri" w:cs="Calibri" w:eastAsia="Calibri" w:hAnsi="Calibri"/>
                <w:b w:val="false"/>
                <w:bCs w:val="false"/>
                <w:color w:val="000000"/>
                <w:sz w:val="20"/>
                <w:szCs w:val="20"/>
              </w:rPr>
              <w:t xml:space="preserve">id, org_id, obligation_id, due_date, status, submitted_at, acknowledgement_no</w:t>
            </w:r>
          </w:p>
        </w:tc>
      </w:tr>
      <w:tr>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deadlines</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Calculated deadline calendar</w:t>
            </w:r>
          </w:p>
        </w:tc>
        <w:tc>
          <w:tcPr>
            <w:tcW w:type="dxa" w:w="3960"/>
            <w:shd w:fill="D6EAF8" w:color="auto" w:val="clear"/>
            <w:vAlign w:val="center"/>
          </w:tcPr>
          <w:p>
            <w:pPr>
              <w:spacing w:after="60" w:before="60"/>
            </w:pPr>
            <w:r>
              <w:rPr>
                <w:rFonts w:ascii="Calibri" w:cs="Calibri" w:eastAsia="Calibri" w:hAnsi="Calibri"/>
                <w:b w:val="false"/>
                <w:bCs w:val="false"/>
                <w:color w:val="000000"/>
                <w:sz w:val="20"/>
                <w:szCs w:val="20"/>
              </w:rPr>
              <w:t xml:space="preserve">id, org_id, filing_id, due_date, reminder_sent, escalation_level</w:t>
            </w:r>
          </w:p>
        </w:tc>
      </w:tr>
      <w:tr>
        <w:tc>
          <w:tcPr>
            <w:tcW w:type="dxa" w:w="2400"/>
            <w:vAlign w:val="center"/>
          </w:tcPr>
          <w:p>
            <w:pPr>
              <w:spacing w:after="60" w:before="60"/>
            </w:pPr>
            <w:r>
              <w:rPr>
                <w:rFonts w:ascii="Calibri" w:cs="Calibri" w:eastAsia="Calibri" w:hAnsi="Calibri"/>
                <w:b w:val="false"/>
                <w:bCs w:val="false"/>
                <w:color w:val="000000"/>
                <w:sz w:val="20"/>
                <w:szCs w:val="20"/>
              </w:rPr>
              <w:t xml:space="preserve">regulatory_updates</w:t>
            </w:r>
          </w:p>
        </w:tc>
        <w:tc>
          <w:tcPr>
            <w:tcW w:type="dxa" w:w="3000"/>
            <w:vAlign w:val="center"/>
          </w:tcPr>
          <w:p>
            <w:pPr>
              <w:spacing w:after="60" w:before="60"/>
            </w:pPr>
            <w:r>
              <w:rPr>
                <w:rFonts w:ascii="Calibri" w:cs="Calibri" w:eastAsia="Calibri" w:hAnsi="Calibri"/>
                <w:b w:val="false"/>
                <w:bCs w:val="false"/>
                <w:color w:val="000000"/>
                <w:sz w:val="20"/>
                <w:szCs w:val="20"/>
              </w:rPr>
              <w:t xml:space="preserve">Parsed regulatory changes</w:t>
            </w:r>
          </w:p>
        </w:tc>
        <w:tc>
          <w:tcPr>
            <w:tcW w:type="dxa" w:w="3960"/>
            <w:vAlign w:val="center"/>
          </w:tcPr>
          <w:p>
            <w:pPr>
              <w:spacing w:after="60" w:before="60"/>
            </w:pPr>
            <w:r>
              <w:rPr>
                <w:rFonts w:ascii="Calibri" w:cs="Calibri" w:eastAsia="Calibri" w:hAnsi="Calibri"/>
                <w:b w:val="false"/>
                <w:bCs w:val="false"/>
                <w:color w:val="000000"/>
                <w:sz w:val="20"/>
                <w:szCs w:val="20"/>
              </w:rPr>
              <w:t xml:space="preserve">id, source, date, title, summary, impact_level, domains_json</w:t>
            </w:r>
          </w:p>
        </w:tc>
      </w:tr>
      <w:tr>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documents</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Uploaded and generated documents</w:t>
            </w:r>
          </w:p>
        </w:tc>
        <w:tc>
          <w:tcPr>
            <w:tcW w:type="dxa" w:w="3960"/>
            <w:shd w:fill="D6EAF8" w:color="auto" w:val="clear"/>
            <w:vAlign w:val="center"/>
          </w:tcPr>
          <w:p>
            <w:pPr>
              <w:spacing w:after="60" w:before="60"/>
            </w:pPr>
            <w:r>
              <w:rPr>
                <w:rFonts w:ascii="Calibri" w:cs="Calibri" w:eastAsia="Calibri" w:hAnsi="Calibri"/>
                <w:b w:val="false"/>
                <w:bCs w:val="false"/>
                <w:color w:val="000000"/>
                <w:sz w:val="20"/>
                <w:szCs w:val="20"/>
              </w:rPr>
              <w:t xml:space="preserve">id, org_id, type, storage_path, parsed_content, metadata_json</w:t>
            </w:r>
          </w:p>
        </w:tc>
      </w:tr>
      <w:tr>
        <w:tc>
          <w:tcPr>
            <w:tcW w:type="dxa" w:w="2400"/>
            <w:vAlign w:val="center"/>
          </w:tcPr>
          <w:p>
            <w:pPr>
              <w:spacing w:after="60" w:before="60"/>
            </w:pPr>
            <w:r>
              <w:rPr>
                <w:rFonts w:ascii="Calibri" w:cs="Calibri" w:eastAsia="Calibri" w:hAnsi="Calibri"/>
                <w:b w:val="false"/>
                <w:bCs w:val="false"/>
                <w:color w:val="000000"/>
                <w:sz w:val="20"/>
                <w:szCs w:val="20"/>
              </w:rPr>
              <w:t xml:space="preserve">audit_trails</w:t>
            </w:r>
          </w:p>
        </w:tc>
        <w:tc>
          <w:tcPr>
            <w:tcW w:type="dxa" w:w="3000"/>
            <w:vAlign w:val="center"/>
          </w:tcPr>
          <w:p>
            <w:pPr>
              <w:spacing w:after="60" w:before="60"/>
            </w:pPr>
            <w:r>
              <w:rPr>
                <w:rFonts w:ascii="Calibri" w:cs="Calibri" w:eastAsia="Calibri" w:hAnsi="Calibri"/>
                <w:b w:val="false"/>
                <w:bCs w:val="false"/>
                <w:color w:val="000000"/>
                <w:sz w:val="20"/>
                <w:szCs w:val="20"/>
              </w:rPr>
              <w:t xml:space="preserve">Tamper-proof activity log</w:t>
            </w:r>
          </w:p>
        </w:tc>
        <w:tc>
          <w:tcPr>
            <w:tcW w:type="dxa" w:w="3960"/>
            <w:vAlign w:val="center"/>
          </w:tcPr>
          <w:p>
            <w:pPr>
              <w:spacing w:after="60" w:before="60"/>
            </w:pPr>
            <w:r>
              <w:rPr>
                <w:rFonts w:ascii="Calibri" w:cs="Calibri" w:eastAsia="Calibri" w:hAnsi="Calibri"/>
                <w:b w:val="false"/>
                <w:bCs w:val="false"/>
                <w:color w:val="000000"/>
                <w:sz w:val="20"/>
                <w:szCs w:val="20"/>
              </w:rPr>
              <w:t xml:space="preserve">id, org_id, user_id, action, entity_type, entity_id, timestamp, checksum</w:t>
            </w:r>
          </w:p>
        </w:tc>
      </w:tr>
      <w:tr>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notifications</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Sent notification records</w:t>
            </w:r>
          </w:p>
        </w:tc>
        <w:tc>
          <w:tcPr>
            <w:tcW w:type="dxa" w:w="3960"/>
            <w:shd w:fill="D6EAF8" w:color="auto" w:val="clear"/>
            <w:vAlign w:val="center"/>
          </w:tcPr>
          <w:p>
            <w:pPr>
              <w:spacing w:after="60" w:before="60"/>
            </w:pPr>
            <w:r>
              <w:rPr>
                <w:rFonts w:ascii="Calibri" w:cs="Calibri" w:eastAsia="Calibri" w:hAnsi="Calibri"/>
                <w:b w:val="false"/>
                <w:bCs w:val="false"/>
                <w:color w:val="000000"/>
                <w:sz w:val="20"/>
                <w:szCs w:val="20"/>
              </w:rPr>
              <w:t xml:space="preserve">id, org_id, channel, recipient, content, sent_at, status</w:t>
            </w:r>
          </w:p>
        </w:tc>
      </w:tr>
      <w:tr>
        <w:tc>
          <w:tcPr>
            <w:tcW w:type="dxa" w:w="2400"/>
            <w:vAlign w:val="center"/>
          </w:tcPr>
          <w:p>
            <w:pPr>
              <w:spacing w:after="60" w:before="60"/>
            </w:pPr>
            <w:r>
              <w:rPr>
                <w:rFonts w:ascii="Calibri" w:cs="Calibri" w:eastAsia="Calibri" w:hAnsi="Calibri"/>
                <w:b w:val="false"/>
                <w:bCs w:val="false"/>
                <w:color w:val="000000"/>
                <w:sz w:val="20"/>
                <w:szCs w:val="20"/>
              </w:rPr>
              <w:t xml:space="preserve">templates</w:t>
            </w:r>
          </w:p>
        </w:tc>
        <w:tc>
          <w:tcPr>
            <w:tcW w:type="dxa" w:w="3000"/>
            <w:vAlign w:val="center"/>
          </w:tcPr>
          <w:p>
            <w:pPr>
              <w:spacing w:after="60" w:before="60"/>
            </w:pPr>
            <w:r>
              <w:rPr>
                <w:rFonts w:ascii="Calibri" w:cs="Calibri" w:eastAsia="Calibri" w:hAnsi="Calibri"/>
                <w:b w:val="false"/>
                <w:bCs w:val="false"/>
                <w:color w:val="000000"/>
                <w:sz w:val="20"/>
                <w:szCs w:val="20"/>
              </w:rPr>
              <w:t xml:space="preserve">Filing and document templates</w:t>
            </w:r>
          </w:p>
        </w:tc>
        <w:tc>
          <w:tcPr>
            <w:tcW w:type="dxa" w:w="3960"/>
            <w:vAlign w:val="center"/>
          </w:tcPr>
          <w:p>
            <w:pPr>
              <w:spacing w:after="60" w:before="60"/>
            </w:pPr>
            <w:r>
              <w:rPr>
                <w:rFonts w:ascii="Calibri" w:cs="Calibri" w:eastAsia="Calibri" w:hAnsi="Calibri"/>
                <w:b w:val="false"/>
                <w:bCs w:val="false"/>
                <w:color w:val="000000"/>
                <w:sz w:val="20"/>
                <w:szCs w:val="20"/>
              </w:rPr>
              <w:t xml:space="preserve">id, regulation, filing_type, template_json, version, is_active</w:t>
            </w:r>
          </w:p>
        </w:tc>
      </w:tr>
    </w:tbl>
    <w:p>
      <w:pPr>
        <w:spacing w:after="120"/>
        <w:jc w:val="left"/>
      </w:pPr>
      <w:r>
        <w:rPr>
          <w:rFonts w:ascii="Calibri" w:cs="Calibri" w:eastAsia="Calibri" w:hAnsi="Calibri"/>
          <w:sz w:val="22"/>
          <w:szCs w:val="22"/>
        </w:rPr>
        <w:t xml:space="preserve">The audit_trails table is append-only with cryptographic checksums for tamper detection. Each entry includes a SHA-256 hash of the previous entry, creating an audit chain. No UPDATE or DELETE operations are permitted on this table.</w:t>
      </w:r>
    </w:p>
    <w:p>
      <w:r>
        <w:br w:type="page"/>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Regulatory Calendar with Auto-Reminders</w:t>
      </w:r>
    </w:p>
    <w:p>
      <w:pPr>
        <w:spacing w:after="120"/>
        <w:jc w:val="left"/>
      </w:pPr>
      <w:r>
        <w:rPr>
          <w:rFonts w:ascii="Calibri" w:cs="Calibri" w:eastAsia="Calibri" w:hAnsi="Calibri"/>
          <w:sz w:val="22"/>
          <w:szCs w:val="22"/>
        </w:rPr>
        <w:t xml:space="preserve">A comprehensive compliance calendar showing all upcoming deadlines across all regulations. Deadlines are color-coded by urgency (green &gt; 30 days, yellow 15-30 days, orange 7-15 days, red &lt; 7 days). Automatic reminders are sent via WhatsApp and email at configurable intervals (default: 30, 15, 7, 3, 1 days before deadline).</w:t>
      </w:r>
    </w:p>
    <w:p>
      <w:pPr>
        <w:pStyle w:val="Heading2"/>
        <w:spacing w:after="160" w:before="280"/>
      </w:pPr>
      <w:r>
        <w:rPr>
          <w:rFonts w:ascii="Calibri" w:cs="Calibri" w:eastAsia="Calibri" w:hAnsi="Calibri"/>
          <w:b/>
          <w:bCs/>
          <w:color w:val="1B4F72"/>
          <w:sz w:val="26"/>
          <w:szCs w:val="26"/>
        </w:rPr>
        <w:t xml:space="preserve">4.2 AI-Generated Compliance Filings</w:t>
      </w:r>
    </w:p>
    <w:p>
      <w:pPr>
        <w:spacing w:after="120"/>
        <w:jc w:val="left"/>
      </w:pPr>
      <w:r>
        <w:rPr>
          <w:rFonts w:ascii="Calibri" w:cs="Calibri" w:eastAsia="Calibri" w:hAnsi="Calibri"/>
          <w:sz w:val="22"/>
          <w:szCs w:val="22"/>
        </w:rPr>
        <w:t xml:space="preserve">CompliPilot generates draft filings by pulling data from the organization's profile, previous filings, and financial records. Supported filing types include: MCA Annual Returns (MGT-7, AOC-4), GST returns (GSTR-1, GSTR-3B, GSTR-9), ROC filings (INC-20A, DIR-3 KYC, ADT-1), and Income Tax returns (ITR-4, ITR-6). Generated drafts are presented for human review before submission.</w:t>
      </w:r>
    </w:p>
    <w:p>
      <w:pPr>
        <w:pStyle w:val="Heading2"/>
        <w:spacing w:after="160" w:before="280"/>
      </w:pPr>
      <w:r>
        <w:rPr>
          <w:rFonts w:ascii="Calibri" w:cs="Calibri" w:eastAsia="Calibri" w:hAnsi="Calibri"/>
          <w:b/>
          <w:bCs/>
          <w:color w:val="1B4F72"/>
          <w:sz w:val="26"/>
          <w:szCs w:val="26"/>
        </w:rPr>
        <w:t xml:space="preserve">4.3 Document Parser for Regulatory Notices</w:t>
      </w:r>
    </w:p>
    <w:p>
      <w:pPr>
        <w:spacing w:after="120"/>
        <w:jc w:val="left"/>
      </w:pPr>
      <w:r>
        <w:rPr>
          <w:rFonts w:ascii="Calibri" w:cs="Calibri" w:eastAsia="Calibri" w:hAnsi="Calibri"/>
          <w:sz w:val="22"/>
          <w:szCs w:val="22"/>
        </w:rPr>
        <w:t xml:space="preserve">Upload regulatory notices, show-cause notices, or circulars and CompliPilot will parse the document, extract key requirements, identify deadlines, and suggest response actions. The parser handles PDFs (including scanned), Word documents, and HTML pages.</w:t>
      </w:r>
    </w:p>
    <w:p>
      <w:pPr>
        <w:pStyle w:val="Heading2"/>
        <w:spacing w:after="160" w:before="280"/>
      </w:pPr>
      <w:r>
        <w:rPr>
          <w:rFonts w:ascii="Calibri" w:cs="Calibri" w:eastAsia="Calibri" w:hAnsi="Calibri"/>
          <w:b/>
          <w:bCs/>
          <w:color w:val="1B4F72"/>
          <w:sz w:val="26"/>
          <w:szCs w:val="26"/>
        </w:rPr>
        <w:t xml:space="preserve">4.4 DPDP Act Compliance Toolkit</w:t>
      </w:r>
    </w:p>
    <w:p>
      <w:pPr>
        <w:spacing w:after="120"/>
        <w:jc w:val="left"/>
      </w:pPr>
      <w:r>
        <w:rPr>
          <w:rFonts w:ascii="Calibri" w:cs="Calibri" w:eastAsia="Calibri" w:hAnsi="Calibri"/>
          <w:sz w:val="22"/>
          <w:szCs w:val="22"/>
        </w:rPr>
        <w:t xml:space="preserve">A dedicated module for Digital Personal Data Protection Act compliance:</w:t>
      </w:r>
    </w:p>
    <w:p>
      <w:pPr>
        <w:spacing w:after="120"/>
        <w:jc w:val="left"/>
      </w:pPr>
      <w:r>
        <w:rPr>
          <w:rFonts w:ascii="Calibri" w:cs="Calibri" w:eastAsia="Calibri" w:hAnsi="Calibri"/>
          <w:sz w:val="22"/>
          <w:szCs w:val="22"/>
        </w:rPr>
        <w:t xml:space="preserve">1. Consent Management: Template-based consent collection with versioning and audit trail.</w:t>
      </w:r>
    </w:p>
    <w:p>
      <w:pPr>
        <w:spacing w:after="120"/>
        <w:jc w:val="left"/>
      </w:pPr>
      <w:r>
        <w:rPr>
          <w:rFonts w:ascii="Calibri" w:cs="Calibri" w:eastAsia="Calibri" w:hAnsi="Calibri"/>
          <w:sz w:val="22"/>
          <w:szCs w:val="22"/>
        </w:rPr>
        <w:t xml:space="preserve">2. Data Mapping: Automated discovery and mapping of personal data across the organization's systems.</w:t>
      </w:r>
    </w:p>
    <w:p>
      <w:pPr>
        <w:spacing w:after="120"/>
        <w:jc w:val="left"/>
      </w:pPr>
      <w:r>
        <w:rPr>
          <w:rFonts w:ascii="Calibri" w:cs="Calibri" w:eastAsia="Calibri" w:hAnsi="Calibri"/>
          <w:sz w:val="22"/>
          <w:szCs w:val="22"/>
        </w:rPr>
        <w:t xml:space="preserve">3. Breach Notification: Workflow for data breach detection, assessment, DPA notification (within 72 hours), and affected individual notification.</w:t>
      </w:r>
    </w:p>
    <w:p>
      <w:pPr>
        <w:spacing w:after="120"/>
        <w:jc w:val="left"/>
      </w:pPr>
      <w:r>
        <w:rPr>
          <w:rFonts w:ascii="Calibri" w:cs="Calibri" w:eastAsia="Calibri" w:hAnsi="Calibri"/>
          <w:sz w:val="22"/>
          <w:szCs w:val="22"/>
        </w:rPr>
        <w:t xml:space="preserve">4. Data Subject Rights: Automated handling of access, correction, and erasure requests with SLA tracking.</w:t>
      </w:r>
    </w:p>
    <w:p>
      <w:pPr>
        <w:spacing w:after="120"/>
        <w:jc w:val="left"/>
      </w:pPr>
      <w:r>
        <w:rPr>
          <w:rFonts w:ascii="Calibri" w:cs="Calibri" w:eastAsia="Calibri" w:hAnsi="Calibri"/>
          <w:sz w:val="22"/>
          <w:szCs w:val="22"/>
        </w:rPr>
        <w:t xml:space="preserve">5. Privacy Impact Assessment: Guided PIA templates with AI-assisted risk scoring.</w:t>
      </w:r>
    </w:p>
    <w:p>
      <w:pPr>
        <w:pStyle w:val="Heading2"/>
        <w:spacing w:after="160" w:before="280"/>
      </w:pPr>
      <w:r>
        <w:rPr>
          <w:rFonts w:ascii="Calibri" w:cs="Calibri" w:eastAsia="Calibri" w:hAnsi="Calibri"/>
          <w:b/>
          <w:bCs/>
          <w:color w:val="1B4F72"/>
          <w:sz w:val="26"/>
          <w:szCs w:val="26"/>
        </w:rPr>
        <w:t xml:space="preserve">4.5 Multi-Entity Management for CA Firms</w:t>
      </w:r>
    </w:p>
    <w:p>
      <w:pPr>
        <w:spacing w:after="120"/>
        <w:jc w:val="left"/>
      </w:pPr>
      <w:r>
        <w:rPr>
          <w:rFonts w:ascii="Calibri" w:cs="Calibri" w:eastAsia="Calibri" w:hAnsi="Calibri"/>
          <w:sz w:val="22"/>
          <w:szCs w:val="22"/>
        </w:rPr>
        <w:t xml:space="preserve">CA firms can manage compliance for hundreds of client entities from a single dashboard. Features include bulk deadline tracking, cross-client filing status overview, workload distribution among CA firm staff, and consolidated billing. Client-level access controls ensure staff can only see assigned clients.</w:t>
      </w:r>
    </w:p>
    <w:p>
      <w:pPr>
        <w:pStyle w:val="Heading2"/>
        <w:spacing w:after="160" w:before="280"/>
      </w:pPr>
      <w:r>
        <w:rPr>
          <w:rFonts w:ascii="Calibri" w:cs="Calibri" w:eastAsia="Calibri" w:hAnsi="Calibri"/>
          <w:b/>
          <w:bCs/>
          <w:color w:val="1B4F72"/>
          <w:sz w:val="26"/>
          <w:szCs w:val="26"/>
        </w:rPr>
        <w:t xml:space="preserve">4.6 Regulatory Change Alerts with Impact Analysis</w:t>
      </w:r>
    </w:p>
    <w:p>
      <w:pPr>
        <w:spacing w:after="120"/>
        <w:jc w:val="left"/>
      </w:pPr>
      <w:r>
        <w:rPr>
          <w:rFonts w:ascii="Calibri" w:cs="Calibri" w:eastAsia="Calibri" w:hAnsi="Calibri"/>
          <w:sz w:val="22"/>
          <w:szCs w:val="22"/>
        </w:rPr>
        <w:t xml:space="preserve">When a new regulation or amendment is detected, CompliPilot performs an automated impact analysis for each client organization. The alert includes: what changed, who is affected, what action is required, and the deadline for compliance. Alerts are prioritized by impact level (critical, high, medium, low) and sent via the client's preferred notification channel.</w:t>
      </w:r>
    </w:p>
    <w:p>
      <w:pPr>
        <w:pStyle w:val="Heading2"/>
        <w:spacing w:after="160" w:before="280"/>
      </w:pPr>
      <w:r>
        <w:rPr>
          <w:rFonts w:ascii="Calibri" w:cs="Calibri" w:eastAsia="Calibri" w:hAnsi="Calibri"/>
          <w:b/>
          <w:bCs/>
          <w:color w:val="1B4F72"/>
          <w:sz w:val="26"/>
          <w:szCs w:val="26"/>
        </w:rPr>
        <w:t xml:space="preserve">4.7 Audit Trail with Tamper-Proof Logging</w:t>
      </w:r>
    </w:p>
    <w:p>
      <w:pPr>
        <w:spacing w:after="120"/>
        <w:jc w:val="left"/>
      </w:pPr>
      <w:r>
        <w:rPr>
          <w:rFonts w:ascii="Calibri" w:cs="Calibri" w:eastAsia="Calibri" w:hAnsi="Calibri"/>
          <w:sz w:val="22"/>
          <w:szCs w:val="22"/>
        </w:rPr>
        <w:t xml:space="preserve">Every action in the system is logged with a cryptographic hash chain. The audit trail captures who did what, when, from which IP, and the before/after state of modified records. This creates an immutable compliance history that can be presented to regulators during audits.</w:t>
      </w:r>
    </w:p>
    <w:p>
      <w:pPr>
        <w:pStyle w:val="Heading2"/>
        <w:spacing w:after="160" w:before="280"/>
      </w:pPr>
      <w:r>
        <w:rPr>
          <w:rFonts w:ascii="Calibri" w:cs="Calibri" w:eastAsia="Calibri" w:hAnsi="Calibri"/>
          <w:b/>
          <w:bCs/>
          <w:color w:val="1B4F72"/>
          <w:sz w:val="26"/>
          <w:szCs w:val="26"/>
        </w:rPr>
        <w:t xml:space="preserve">4.8 Template Library</w:t>
      </w:r>
    </w:p>
    <w:p>
      <w:pPr>
        <w:spacing w:after="120"/>
        <w:jc w:val="left"/>
      </w:pPr>
      <w:r>
        <w:rPr>
          <w:rFonts w:ascii="Calibri" w:cs="Calibri" w:eastAsia="Calibri" w:hAnsi="Calibri"/>
          <w:sz w:val="22"/>
          <w:szCs w:val="22"/>
        </w:rPr>
        <w:t xml:space="preserve">A curated library of templates for common filings, board resolutions, compliance certificates, and regulatory responses. Templates are maintained by the CompliPilot team and updated when regulations change. CA firms can create custom templates for their practice.</w:t>
      </w:r>
    </w:p>
    <w:p>
      <w:pPr>
        <w:pStyle w:val="Heading2"/>
        <w:spacing w:after="160" w:before="280"/>
      </w:pPr>
      <w:r>
        <w:rPr>
          <w:rFonts w:ascii="Calibri" w:cs="Calibri" w:eastAsia="Calibri" w:hAnsi="Calibri"/>
          <w:b/>
          <w:bCs/>
          <w:color w:val="1B4F72"/>
          <w:sz w:val="26"/>
          <w:szCs w:val="26"/>
        </w:rPr>
        <w:t xml:space="preserve">4.9 GSTBot Integration</w:t>
      </w:r>
    </w:p>
    <w:p>
      <w:pPr>
        <w:spacing w:after="120"/>
        <w:jc w:val="left"/>
      </w:pPr>
      <w:r>
        <w:rPr>
          <w:rFonts w:ascii="Calibri" w:cs="Calibri" w:eastAsia="Calibri" w:hAnsi="Calibri"/>
          <w:sz w:val="22"/>
          <w:szCs w:val="22"/>
        </w:rPr>
        <w:t xml:space="preserve">Native integration with GSTBot for GST-specific compliance. Invoice reconciliation, ITC matching, e-way bill management, and return filing are handled by GSTBot's specialized engine, with status and deadlines surfaced in CompliPilot's unified dashboard.</w:t>
      </w:r>
    </w:p>
    <w:p>
      <w:r>
        <w:br w:type="page"/>
      </w:r>
    </w:p>
    <w:p>
      <w:pPr>
        <w:pStyle w:val="Heading1"/>
        <w:spacing w:after="200" w:before="360"/>
      </w:pPr>
      <w:r>
        <w:rPr>
          <w:rFonts w:ascii="Calibri" w:cs="Calibri" w:eastAsia="Calibri" w:hAnsi="Calibri"/>
          <w:b/>
          <w:bCs/>
          <w:color w:val="1B4F72"/>
          <w:sz w:val="32"/>
          <w:szCs w:val="32"/>
        </w:rPr>
        <w:t xml:space="preserve">5. Regulatory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c>
          <w:tcPr>
            <w:tcW w:type="dxa" w:w="1400"/>
            <w:shd w:fill="1B4F72" w:color="auto" w:val="clear"/>
            <w:vAlign w:val="center"/>
          </w:tcPr>
          <w:p>
            <w:pPr>
              <w:spacing w:after="60" w:before="60"/>
            </w:pPr>
            <w:r>
              <w:rPr>
                <w:rFonts w:ascii="Calibri" w:cs="Calibri" w:eastAsia="Calibri" w:hAnsi="Calibri"/>
                <w:b/>
                <w:bCs/>
                <w:color w:val="FFFFFF"/>
                <w:sz w:val="20"/>
                <w:szCs w:val="20"/>
              </w:rPr>
              <w:t xml:space="preserve">Regulation</w:t>
            </w:r>
          </w:p>
        </w:tc>
        <w:tc>
          <w:tcPr>
            <w:tcW w:type="dxa" w:w="2600"/>
            <w:shd w:fill="1B4F72" w:color="auto" w:val="clear"/>
            <w:vAlign w:val="center"/>
          </w:tcPr>
          <w:p>
            <w:pPr>
              <w:spacing w:after="60" w:before="60"/>
            </w:pPr>
            <w:r>
              <w:rPr>
                <w:rFonts w:ascii="Calibri" w:cs="Calibri" w:eastAsia="Calibri" w:hAnsi="Calibri"/>
                <w:b/>
                <w:bCs/>
                <w:color w:val="FFFFFF"/>
                <w:sz w:val="20"/>
                <w:szCs w:val="20"/>
              </w:rPr>
              <w:t xml:space="preserve">Filing Types</w:t>
            </w:r>
          </w:p>
        </w:tc>
        <w:tc>
          <w:tcPr>
            <w:tcW w:type="dxa" w:w="2000"/>
            <w:shd w:fill="1B4F72" w:color="auto" w:val="clear"/>
            <w:vAlign w:val="center"/>
          </w:tcPr>
          <w:p>
            <w:pPr>
              <w:spacing w:after="60" w:before="60"/>
            </w:pPr>
            <w:r>
              <w:rPr>
                <w:rFonts w:ascii="Calibri" w:cs="Calibri" w:eastAsia="Calibri" w:hAnsi="Calibri"/>
                <w:b/>
                <w:bCs/>
                <w:color w:val="FFFFFF"/>
                <w:sz w:val="20"/>
                <w:szCs w:val="20"/>
              </w:rPr>
              <w:t xml:space="preserve">Frequency</w:t>
            </w:r>
          </w:p>
        </w:tc>
        <w:tc>
          <w:tcPr>
            <w:tcW w:type="dxa" w:w="3360"/>
            <w:shd w:fill="1B4F72" w:color="auto" w:val="clear"/>
            <w:vAlign w:val="center"/>
          </w:tcPr>
          <w:p>
            <w:pPr>
              <w:spacing w:after="60" w:before="60"/>
            </w:pPr>
            <w:r>
              <w:rPr>
                <w:rFonts w:ascii="Calibri" w:cs="Calibri" w:eastAsia="Calibri" w:hAnsi="Calibri"/>
                <w:b/>
                <w:bCs/>
                <w:color w:val="FFFFFF"/>
                <w:sz w:val="20"/>
                <w:szCs w:val="20"/>
              </w:rPr>
              <w:t xml:space="preserve">Key Deadlines</w:t>
            </w:r>
          </w:p>
        </w:tc>
      </w:tr>
      <w:tr>
        <w:tc>
          <w:tcPr>
            <w:tcW w:type="dxa" w:w="1400"/>
            <w:shd w:fill="D6EAF8" w:color="auto" w:val="clear"/>
            <w:vAlign w:val="center"/>
          </w:tcPr>
          <w:p>
            <w:pPr>
              <w:spacing w:after="60" w:before="60"/>
            </w:pPr>
            <w:r>
              <w:rPr>
                <w:rFonts w:ascii="Calibri" w:cs="Calibri" w:eastAsia="Calibri" w:hAnsi="Calibri"/>
                <w:b w:val="false"/>
                <w:bCs w:val="false"/>
                <w:color w:val="000000"/>
                <w:sz w:val="20"/>
                <w:szCs w:val="20"/>
              </w:rPr>
              <w:t xml:space="preserve">GST</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GSTR-1, GSTR-3B, GSTR-9, GSTR-9C</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Monthly/Annual</w:t>
            </w:r>
          </w:p>
        </w:tc>
        <w:tc>
          <w:tcPr>
            <w:tcW w:type="dxa" w:w="3360"/>
            <w:shd w:fill="D6EAF8" w:color="auto" w:val="clear"/>
            <w:vAlign w:val="center"/>
          </w:tcPr>
          <w:p>
            <w:pPr>
              <w:spacing w:after="60" w:before="60"/>
            </w:pPr>
            <w:r>
              <w:rPr>
                <w:rFonts w:ascii="Calibri" w:cs="Calibri" w:eastAsia="Calibri" w:hAnsi="Calibri"/>
                <w:b w:val="false"/>
                <w:bCs w:val="false"/>
                <w:color w:val="000000"/>
                <w:sz w:val="20"/>
                <w:szCs w:val="20"/>
              </w:rPr>
              <w:t xml:space="preserve">11th, 20th of each month; Dec 31 for annual</w:t>
            </w:r>
          </w:p>
        </w:tc>
      </w:tr>
      <w:tr>
        <w:tc>
          <w:tcPr>
            <w:tcW w:type="dxa" w:w="1400"/>
            <w:vAlign w:val="center"/>
          </w:tcPr>
          <w:p>
            <w:pPr>
              <w:spacing w:after="60" w:before="60"/>
            </w:pPr>
            <w:r>
              <w:rPr>
                <w:rFonts w:ascii="Calibri" w:cs="Calibri" w:eastAsia="Calibri" w:hAnsi="Calibri"/>
                <w:b w:val="false"/>
                <w:bCs w:val="false"/>
                <w:color w:val="000000"/>
                <w:sz w:val="20"/>
                <w:szCs w:val="20"/>
              </w:rPr>
              <w:t xml:space="preserve">Income Tax</w:t>
            </w:r>
          </w:p>
        </w:tc>
        <w:tc>
          <w:tcPr>
            <w:tcW w:type="dxa" w:w="2600"/>
            <w:vAlign w:val="center"/>
          </w:tcPr>
          <w:p>
            <w:pPr>
              <w:spacing w:after="60" w:before="60"/>
            </w:pPr>
            <w:r>
              <w:rPr>
                <w:rFonts w:ascii="Calibri" w:cs="Calibri" w:eastAsia="Calibri" w:hAnsi="Calibri"/>
                <w:b w:val="false"/>
                <w:bCs w:val="false"/>
                <w:color w:val="000000"/>
                <w:sz w:val="20"/>
                <w:szCs w:val="20"/>
              </w:rPr>
              <w:t xml:space="preserve">ITR-1 to ITR-7, TDS Returns, Advance Tax</w:t>
            </w:r>
          </w:p>
        </w:tc>
        <w:tc>
          <w:tcPr>
            <w:tcW w:type="dxa" w:w="2000"/>
            <w:vAlign w:val="center"/>
          </w:tcPr>
          <w:p>
            <w:pPr>
              <w:spacing w:after="60" w:before="60"/>
            </w:pPr>
            <w:r>
              <w:rPr>
                <w:rFonts w:ascii="Calibri" w:cs="Calibri" w:eastAsia="Calibri" w:hAnsi="Calibri"/>
                <w:b w:val="false"/>
                <w:bCs w:val="false"/>
                <w:color w:val="000000"/>
                <w:sz w:val="20"/>
                <w:szCs w:val="20"/>
              </w:rPr>
              <w:t xml:space="preserve">Quarterly/Annual</w:t>
            </w:r>
          </w:p>
        </w:tc>
        <w:tc>
          <w:tcPr>
            <w:tcW w:type="dxa" w:w="3360"/>
            <w:vAlign w:val="center"/>
          </w:tcPr>
          <w:p>
            <w:pPr>
              <w:spacing w:after="60" w:before="60"/>
            </w:pPr>
            <w:r>
              <w:rPr>
                <w:rFonts w:ascii="Calibri" w:cs="Calibri" w:eastAsia="Calibri" w:hAnsi="Calibri"/>
                <w:b w:val="false"/>
                <w:bCs w:val="false"/>
                <w:color w:val="000000"/>
                <w:sz w:val="20"/>
                <w:szCs w:val="20"/>
              </w:rPr>
              <w:t xml:space="preserve">Jul 31, Oct 31, Mar 15 (advance tax)</w:t>
            </w:r>
          </w:p>
        </w:tc>
      </w:tr>
      <w:tr>
        <w:tc>
          <w:tcPr>
            <w:tcW w:type="dxa" w:w="1400"/>
            <w:shd w:fill="D6EAF8" w:color="auto" w:val="clear"/>
            <w:vAlign w:val="center"/>
          </w:tcPr>
          <w:p>
            <w:pPr>
              <w:spacing w:after="60" w:before="60"/>
            </w:pPr>
            <w:r>
              <w:rPr>
                <w:rFonts w:ascii="Calibri" w:cs="Calibri" w:eastAsia="Calibri" w:hAnsi="Calibri"/>
                <w:b w:val="false"/>
                <w:bCs w:val="false"/>
                <w:color w:val="000000"/>
                <w:sz w:val="20"/>
                <w:szCs w:val="20"/>
              </w:rPr>
              <w:t xml:space="preserve">RBI</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FLA Return, ECB Returns, Annual Return on Foreign Liabilities</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Annual/Event-based</w:t>
            </w:r>
          </w:p>
        </w:tc>
        <w:tc>
          <w:tcPr>
            <w:tcW w:type="dxa" w:w="3360"/>
            <w:shd w:fill="D6EAF8" w:color="auto" w:val="clear"/>
            <w:vAlign w:val="center"/>
          </w:tcPr>
          <w:p>
            <w:pPr>
              <w:spacing w:after="60" w:before="60"/>
            </w:pPr>
            <w:r>
              <w:rPr>
                <w:rFonts w:ascii="Calibri" w:cs="Calibri" w:eastAsia="Calibri" w:hAnsi="Calibri"/>
                <w:b w:val="false"/>
                <w:bCs w:val="false"/>
                <w:color w:val="000000"/>
                <w:sz w:val="20"/>
                <w:szCs w:val="20"/>
              </w:rPr>
              <w:t xml:space="preserve">Jul 15 (FLA), event-based for ECB</w:t>
            </w:r>
          </w:p>
        </w:tc>
      </w:tr>
      <w:tr>
        <w:tc>
          <w:tcPr>
            <w:tcW w:type="dxa" w:w="1400"/>
            <w:vAlign w:val="center"/>
          </w:tcPr>
          <w:p>
            <w:pPr>
              <w:spacing w:after="60" w:before="60"/>
            </w:pPr>
            <w:r>
              <w:rPr>
                <w:rFonts w:ascii="Calibri" w:cs="Calibri" w:eastAsia="Calibri" w:hAnsi="Calibri"/>
                <w:b w:val="false"/>
                <w:bCs w:val="false"/>
                <w:color w:val="000000"/>
                <w:sz w:val="20"/>
                <w:szCs w:val="20"/>
              </w:rPr>
              <w:t xml:space="preserve">SEBI</w:t>
            </w:r>
          </w:p>
        </w:tc>
        <w:tc>
          <w:tcPr>
            <w:tcW w:type="dxa" w:w="2600"/>
            <w:vAlign w:val="center"/>
          </w:tcPr>
          <w:p>
            <w:pPr>
              <w:spacing w:after="60" w:before="60"/>
            </w:pPr>
            <w:r>
              <w:rPr>
                <w:rFonts w:ascii="Calibri" w:cs="Calibri" w:eastAsia="Calibri" w:hAnsi="Calibri"/>
                <w:b w:val="false"/>
                <w:bCs w:val="false"/>
                <w:color w:val="000000"/>
                <w:sz w:val="20"/>
                <w:szCs w:val="20"/>
              </w:rPr>
              <w:t xml:space="preserve">Shareholding Pattern, Board Meeting Intimation, Insider Trading</w:t>
            </w:r>
          </w:p>
        </w:tc>
        <w:tc>
          <w:tcPr>
            <w:tcW w:type="dxa" w:w="2000"/>
            <w:vAlign w:val="center"/>
          </w:tcPr>
          <w:p>
            <w:pPr>
              <w:spacing w:after="60" w:before="60"/>
            </w:pPr>
            <w:r>
              <w:rPr>
                <w:rFonts w:ascii="Calibri" w:cs="Calibri" w:eastAsia="Calibri" w:hAnsi="Calibri"/>
                <w:b w:val="false"/>
                <w:bCs w:val="false"/>
                <w:color w:val="000000"/>
                <w:sz w:val="20"/>
                <w:szCs w:val="20"/>
              </w:rPr>
              <w:t xml:space="preserve">Quarterly/Event</w:t>
            </w:r>
          </w:p>
        </w:tc>
        <w:tc>
          <w:tcPr>
            <w:tcW w:type="dxa" w:w="3360"/>
            <w:vAlign w:val="center"/>
          </w:tcPr>
          <w:p>
            <w:pPr>
              <w:spacing w:after="60" w:before="60"/>
            </w:pPr>
            <w:r>
              <w:rPr>
                <w:rFonts w:ascii="Calibri" w:cs="Calibri" w:eastAsia="Calibri" w:hAnsi="Calibri"/>
                <w:b w:val="false"/>
                <w:bCs w:val="false"/>
                <w:color w:val="000000"/>
                <w:sz w:val="20"/>
                <w:szCs w:val="20"/>
              </w:rPr>
              <w:t xml:space="preserve">21 days post quarter-end</w:t>
            </w:r>
          </w:p>
        </w:tc>
      </w:tr>
      <w:tr>
        <w:tc>
          <w:tcPr>
            <w:tcW w:type="dxa" w:w="1400"/>
            <w:shd w:fill="D6EAF8" w:color="auto" w:val="clear"/>
            <w:vAlign w:val="center"/>
          </w:tcPr>
          <w:p>
            <w:pPr>
              <w:spacing w:after="60" w:before="60"/>
            </w:pPr>
            <w:r>
              <w:rPr>
                <w:rFonts w:ascii="Calibri" w:cs="Calibri" w:eastAsia="Calibri" w:hAnsi="Calibri"/>
                <w:b w:val="false"/>
                <w:bCs w:val="false"/>
                <w:color w:val="000000"/>
                <w:sz w:val="20"/>
                <w:szCs w:val="20"/>
              </w:rPr>
              <w:t xml:space="preserve">MCA/ROC</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MGT-7, AOC-4, DIR-3 KYC, ADT-1, INC-20A</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Annual/Event</w:t>
            </w:r>
          </w:p>
        </w:tc>
        <w:tc>
          <w:tcPr>
            <w:tcW w:type="dxa" w:w="3360"/>
            <w:shd w:fill="D6EAF8" w:color="auto" w:val="clear"/>
            <w:vAlign w:val="center"/>
          </w:tcPr>
          <w:p>
            <w:pPr>
              <w:spacing w:after="60" w:before="60"/>
            </w:pPr>
            <w:r>
              <w:rPr>
                <w:rFonts w:ascii="Calibri" w:cs="Calibri" w:eastAsia="Calibri" w:hAnsi="Calibri"/>
                <w:b w:val="false"/>
                <w:bCs w:val="false"/>
                <w:color w:val="000000"/>
                <w:sz w:val="20"/>
                <w:szCs w:val="20"/>
              </w:rPr>
              <w:t xml:space="preserve">Oct 31 (MGT-7), Nov 30 (AOC-4)</w:t>
            </w:r>
          </w:p>
        </w:tc>
      </w:tr>
      <w:tr>
        <w:tc>
          <w:tcPr>
            <w:tcW w:type="dxa" w:w="1400"/>
            <w:vAlign w:val="center"/>
          </w:tcPr>
          <w:p>
            <w:pPr>
              <w:spacing w:after="60" w:before="60"/>
            </w:pPr>
            <w:r>
              <w:rPr>
                <w:rFonts w:ascii="Calibri" w:cs="Calibri" w:eastAsia="Calibri" w:hAnsi="Calibri"/>
                <w:b w:val="false"/>
                <w:bCs w:val="false"/>
                <w:color w:val="000000"/>
                <w:sz w:val="20"/>
                <w:szCs w:val="20"/>
              </w:rPr>
              <w:t xml:space="preserve">FEMA</w:t>
            </w:r>
          </w:p>
        </w:tc>
        <w:tc>
          <w:tcPr>
            <w:tcW w:type="dxa" w:w="2600"/>
            <w:vAlign w:val="center"/>
          </w:tcPr>
          <w:p>
            <w:pPr>
              <w:spacing w:after="60" w:before="60"/>
            </w:pPr>
            <w:r>
              <w:rPr>
                <w:rFonts w:ascii="Calibri" w:cs="Calibri" w:eastAsia="Calibri" w:hAnsi="Calibri"/>
                <w:b w:val="false"/>
                <w:bCs w:val="false"/>
                <w:color w:val="000000"/>
                <w:sz w:val="20"/>
                <w:szCs w:val="20"/>
              </w:rPr>
              <w:t xml:space="preserve">FC-GPR, FC-TRS, Annual Return on FDI</w:t>
            </w:r>
          </w:p>
        </w:tc>
        <w:tc>
          <w:tcPr>
            <w:tcW w:type="dxa" w:w="2000"/>
            <w:vAlign w:val="center"/>
          </w:tcPr>
          <w:p>
            <w:pPr>
              <w:spacing w:after="60" w:before="60"/>
            </w:pPr>
            <w:r>
              <w:rPr>
                <w:rFonts w:ascii="Calibri" w:cs="Calibri" w:eastAsia="Calibri" w:hAnsi="Calibri"/>
                <w:b w:val="false"/>
                <w:bCs w:val="false"/>
                <w:color w:val="000000"/>
                <w:sz w:val="20"/>
                <w:szCs w:val="20"/>
              </w:rPr>
              <w:t xml:space="preserve">Event-based/Annual</w:t>
            </w:r>
          </w:p>
        </w:tc>
        <w:tc>
          <w:tcPr>
            <w:tcW w:type="dxa" w:w="3360"/>
            <w:vAlign w:val="center"/>
          </w:tcPr>
          <w:p>
            <w:pPr>
              <w:spacing w:after="60" w:before="60"/>
            </w:pPr>
            <w:r>
              <w:rPr>
                <w:rFonts w:ascii="Calibri" w:cs="Calibri" w:eastAsia="Calibri" w:hAnsi="Calibri"/>
                <w:b w:val="false"/>
                <w:bCs w:val="false"/>
                <w:color w:val="000000"/>
                <w:sz w:val="20"/>
                <w:szCs w:val="20"/>
              </w:rPr>
              <w:t xml:space="preserve">30 days from event; Jul 15 annual</w:t>
            </w:r>
          </w:p>
        </w:tc>
      </w:tr>
      <w:tr>
        <w:tc>
          <w:tcPr>
            <w:tcW w:type="dxa" w:w="1400"/>
            <w:shd w:fill="D6EAF8" w:color="auto" w:val="clear"/>
            <w:vAlign w:val="center"/>
          </w:tcPr>
          <w:p>
            <w:pPr>
              <w:spacing w:after="60" w:before="60"/>
            </w:pPr>
            <w:r>
              <w:rPr>
                <w:rFonts w:ascii="Calibri" w:cs="Calibri" w:eastAsia="Calibri" w:hAnsi="Calibri"/>
                <w:b w:val="false"/>
                <w:bCs w:val="false"/>
                <w:color w:val="000000"/>
                <w:sz w:val="20"/>
                <w:szCs w:val="20"/>
              </w:rPr>
              <w:t xml:space="preserve">Labor Laws</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PF Returns, ESI Returns, Professional Tax, Shops &amp; Est.</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Monthly/Annual</w:t>
            </w:r>
          </w:p>
        </w:tc>
        <w:tc>
          <w:tcPr>
            <w:tcW w:type="dxa" w:w="3360"/>
            <w:shd w:fill="D6EAF8" w:color="auto" w:val="clear"/>
            <w:vAlign w:val="center"/>
          </w:tcPr>
          <w:p>
            <w:pPr>
              <w:spacing w:after="60" w:before="60"/>
            </w:pPr>
            <w:r>
              <w:rPr>
                <w:rFonts w:ascii="Calibri" w:cs="Calibri" w:eastAsia="Calibri" w:hAnsi="Calibri"/>
                <w:b w:val="false"/>
                <w:bCs w:val="false"/>
                <w:color w:val="000000"/>
                <w:sz w:val="20"/>
                <w:szCs w:val="20"/>
              </w:rPr>
              <w:t xml:space="preserve">15th of each month (PF/ESI)</w:t>
            </w:r>
          </w:p>
        </w:tc>
      </w:tr>
      <w:tr>
        <w:tc>
          <w:tcPr>
            <w:tcW w:type="dxa" w:w="1400"/>
            <w:vAlign w:val="center"/>
          </w:tcPr>
          <w:p>
            <w:pPr>
              <w:spacing w:after="60" w:before="60"/>
            </w:pPr>
            <w:r>
              <w:rPr>
                <w:rFonts w:ascii="Calibri" w:cs="Calibri" w:eastAsia="Calibri" w:hAnsi="Calibri"/>
                <w:b w:val="false"/>
                <w:bCs w:val="false"/>
                <w:color w:val="000000"/>
                <w:sz w:val="20"/>
                <w:szCs w:val="20"/>
              </w:rPr>
              <w:t xml:space="preserve">DPDP Act</w:t>
            </w:r>
          </w:p>
        </w:tc>
        <w:tc>
          <w:tcPr>
            <w:tcW w:type="dxa" w:w="2600"/>
            <w:vAlign w:val="center"/>
          </w:tcPr>
          <w:p>
            <w:pPr>
              <w:spacing w:after="60" w:before="60"/>
            </w:pPr>
            <w:r>
              <w:rPr>
                <w:rFonts w:ascii="Calibri" w:cs="Calibri" w:eastAsia="Calibri" w:hAnsi="Calibri"/>
                <w:b w:val="false"/>
                <w:bCs w:val="false"/>
                <w:color w:val="000000"/>
                <w:sz w:val="20"/>
                <w:szCs w:val="20"/>
              </w:rPr>
              <w:t xml:space="preserve">Consent Records, Breach Notification, DPA Annual Report</w:t>
            </w:r>
          </w:p>
        </w:tc>
        <w:tc>
          <w:tcPr>
            <w:tcW w:type="dxa" w:w="2000"/>
            <w:vAlign w:val="center"/>
          </w:tcPr>
          <w:p>
            <w:pPr>
              <w:spacing w:after="60" w:before="60"/>
            </w:pPr>
            <w:r>
              <w:rPr>
                <w:rFonts w:ascii="Calibri" w:cs="Calibri" w:eastAsia="Calibri" w:hAnsi="Calibri"/>
                <w:b w:val="false"/>
                <w:bCs w:val="false"/>
                <w:color w:val="000000"/>
                <w:sz w:val="20"/>
                <w:szCs w:val="20"/>
              </w:rPr>
              <w:t xml:space="preserve">Ongoing/Event</w:t>
            </w:r>
          </w:p>
        </w:tc>
        <w:tc>
          <w:tcPr>
            <w:tcW w:type="dxa" w:w="3360"/>
            <w:vAlign w:val="center"/>
          </w:tcPr>
          <w:p>
            <w:pPr>
              <w:spacing w:after="60" w:before="60"/>
            </w:pPr>
            <w:r>
              <w:rPr>
                <w:rFonts w:ascii="Calibri" w:cs="Calibri" w:eastAsia="Calibri" w:hAnsi="Calibri"/>
                <w:b w:val="false"/>
                <w:bCs w:val="false"/>
                <w:color w:val="000000"/>
                <w:sz w:val="20"/>
                <w:szCs w:val="20"/>
              </w:rPr>
              <w:t xml:space="preserve">72 hours (breach); annual report</w:t>
            </w:r>
          </w:p>
        </w:tc>
      </w:tr>
    </w:tbl>
    <w:p>
      <w:pPr>
        <w:spacing w:after="120"/>
        <w:jc w:val="left"/>
      </w:pPr>
      <w:r>
        <w:rPr>
          <w:rFonts w:ascii="Calibri" w:cs="Calibri" w:eastAsia="Calibri" w:hAnsi="Calibri"/>
          <w:sz w:val="22"/>
          <w:szCs w:val="22"/>
        </w:rPr>
        <w:t xml:space="preserve">The platform covers over 200 specific compliance obligations across these eight regulatory domains. Coverage is expandable through the template system and regulatory update pipeline.</w:t>
      </w:r>
    </w:p>
    <w:p>
      <w:pPr>
        <w:pStyle w:val="Heading1"/>
        <w:spacing w:after="200" w:before="360"/>
      </w:pPr>
      <w:r>
        <w:rPr>
          <w:rFonts w:ascii="Calibri" w:cs="Calibri" w:eastAsia="Calibri" w:hAnsi="Calibri"/>
          <w:b/>
          <w:bCs/>
          <w:color w:val="1B4F72"/>
          <w:sz w:val="32"/>
          <w:szCs w:val="32"/>
        </w:rPr>
        <w:t xml:space="preserve">6. API Design</w:t>
      </w:r>
    </w:p>
    <w:p>
      <w:pPr>
        <w:pStyle w:val="Heading2"/>
        <w:spacing w:after="160" w:before="280"/>
      </w:pPr>
      <w:r>
        <w:rPr>
          <w:rFonts w:ascii="Calibri" w:cs="Calibri" w:eastAsia="Calibri" w:hAnsi="Calibri"/>
          <w:b/>
          <w:bCs/>
          <w:color w:val="1B4F72"/>
          <w:sz w:val="26"/>
          <w:szCs w:val="26"/>
        </w:rPr>
        <w:t xml:space="preserve">6.1 RESTful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shd w:fill="1B4F72" w:color="auto" w:val="clear"/>
            <w:vAlign w:val="center"/>
          </w:tcPr>
          <w:p>
            <w:pPr>
              <w:spacing w:after="60" w:before="60"/>
            </w:pPr>
            <w:r>
              <w:rPr>
                <w:rFonts w:ascii="Calibri" w:cs="Calibri" w:eastAsia="Calibri" w:hAnsi="Calibri"/>
                <w:b/>
                <w:bCs/>
                <w:color w:val="FFFFFF"/>
                <w:sz w:val="20"/>
                <w:szCs w:val="20"/>
              </w:rPr>
              <w:t xml:space="preserve">Method</w:t>
            </w:r>
          </w:p>
        </w:tc>
        <w:tc>
          <w:tcPr>
            <w:tcW w:type="dxa" w:w="3500"/>
            <w:shd w:fill="1B4F72" w:color="auto" w:val="clear"/>
            <w:vAlign w:val="center"/>
          </w:tcPr>
          <w:p>
            <w:pPr>
              <w:spacing w:after="60" w:before="60"/>
            </w:pPr>
            <w:r>
              <w:rPr>
                <w:rFonts w:ascii="Calibri" w:cs="Calibri" w:eastAsia="Calibri" w:hAnsi="Calibri"/>
                <w:b/>
                <w:bCs/>
                <w:color w:val="FFFFFF"/>
                <w:sz w:val="20"/>
                <w:szCs w:val="20"/>
              </w:rPr>
              <w:t xml:space="preserve">Endpoint</w:t>
            </w:r>
          </w:p>
        </w:tc>
        <w:tc>
          <w:tcPr>
            <w:tcW w:type="dxa" w:w="4660"/>
            <w:shd w:fill="1B4F72" w:color="auto" w:val="clear"/>
            <w:vAlign w:val="center"/>
          </w:tcPr>
          <w:p>
            <w:pPr>
              <w:spacing w:after="60" w:before="60"/>
            </w:pPr>
            <w:r>
              <w:rPr>
                <w:rFonts w:ascii="Calibri" w:cs="Calibri" w:eastAsia="Calibri" w:hAnsi="Calibri"/>
                <w:b/>
                <w:bCs/>
                <w:color w:val="FFFFFF"/>
                <w:sz w:val="20"/>
                <w:szCs w:val="20"/>
              </w:rPr>
              <w:t xml:space="preserve">Description</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/api/v1/obligations</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List compliance obligations for an organization</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/api/v1/obligations/:id/deadlines</w:t>
            </w:r>
          </w:p>
        </w:tc>
        <w:tc>
          <w:tcPr>
            <w:tcW w:type="dxa" w:w="4660"/>
            <w:vAlign w:val="center"/>
          </w:tcPr>
          <w:p>
            <w:pPr>
              <w:spacing w:after="60" w:before="60"/>
            </w:pPr>
            <w:r>
              <w:rPr>
                <w:rFonts w:ascii="Calibri" w:cs="Calibri" w:eastAsia="Calibri" w:hAnsi="Calibri"/>
                <w:b w:val="false"/>
                <w:bCs w:val="false"/>
                <w:color w:val="000000"/>
                <w:sz w:val="20"/>
                <w:szCs w:val="20"/>
              </w:rPr>
              <w:t xml:space="preserve">Get upcoming deadlines for an obligation</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/api/v1/filings</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Create a new filing draft</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PUT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/api/v1/filings/:id</w:t>
            </w:r>
          </w:p>
        </w:tc>
        <w:tc>
          <w:tcPr>
            <w:tcW w:type="dxa" w:w="4660"/>
            <w:vAlign w:val="center"/>
          </w:tcPr>
          <w:p>
            <w:pPr>
              <w:spacing w:after="60" w:before="60"/>
            </w:pPr>
            <w:r>
              <w:rPr>
                <w:rFonts w:ascii="Calibri" w:cs="Calibri" w:eastAsia="Calibri" w:hAnsi="Calibri"/>
                <w:b w:val="false"/>
                <w:bCs w:val="false"/>
                <w:color w:val="000000"/>
                <w:sz w:val="20"/>
                <w:szCs w:val="20"/>
              </w:rPr>
              <w:t xml:space="preserve">Update filing data</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/api/v1/filings/:id/submit</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Submit filing (after human review)</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/api/v1/calendar</w:t>
            </w:r>
          </w:p>
        </w:tc>
        <w:tc>
          <w:tcPr>
            <w:tcW w:type="dxa" w:w="4660"/>
            <w:vAlign w:val="center"/>
          </w:tcPr>
          <w:p>
            <w:pPr>
              <w:spacing w:after="60" w:before="60"/>
            </w:pPr>
            <w:r>
              <w:rPr>
                <w:rFonts w:ascii="Calibri" w:cs="Calibri" w:eastAsia="Calibri" w:hAnsi="Calibri"/>
                <w:b w:val="false"/>
                <w:bCs w:val="false"/>
                <w:color w:val="000000"/>
                <w:sz w:val="20"/>
                <w:szCs w:val="20"/>
              </w:rPr>
              <w:t xml:space="preserve">Compliance calendar with filters</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/api/v1/documents/parse</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Upload and parse a regulatory document</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/api/v1/alerts</w:t>
            </w:r>
          </w:p>
        </w:tc>
        <w:tc>
          <w:tcPr>
            <w:tcW w:type="dxa" w:w="4660"/>
            <w:vAlign w:val="center"/>
          </w:tcPr>
          <w:p>
            <w:pPr>
              <w:spacing w:after="60" w:before="60"/>
            </w:pPr>
            <w:r>
              <w:rPr>
                <w:rFonts w:ascii="Calibri" w:cs="Calibri" w:eastAsia="Calibri" w:hAnsi="Calibri"/>
                <w:b w:val="false"/>
                <w:bCs w:val="false"/>
                <w:color w:val="000000"/>
                <w:sz w:val="20"/>
                <w:szCs w:val="20"/>
              </w:rPr>
              <w:t xml:space="preserve">List regulatory change alerts</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/api/v1/alerts/:id/impact</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Get impact analysis for an alert</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/api/v1/templates</w:t>
            </w:r>
          </w:p>
        </w:tc>
        <w:tc>
          <w:tcPr>
            <w:tcW w:type="dxa" w:w="4660"/>
            <w:vAlign w:val="center"/>
          </w:tcPr>
          <w:p>
            <w:pPr>
              <w:spacing w:after="60" w:before="60"/>
            </w:pPr>
            <w:r>
              <w:rPr>
                <w:rFonts w:ascii="Calibri" w:cs="Calibri" w:eastAsia="Calibri" w:hAnsi="Calibri"/>
                <w:b w:val="false"/>
                <w:bCs w:val="false"/>
                <w:color w:val="000000"/>
                <w:sz w:val="20"/>
                <w:szCs w:val="20"/>
              </w:rPr>
              <w:t xml:space="preserve">List available filing templates</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/api/v1/audit-trail</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Query audit trail with filters</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/api/v1/dpdp/breach-report</w:t>
            </w:r>
          </w:p>
        </w:tc>
        <w:tc>
          <w:tcPr>
            <w:tcW w:type="dxa" w:w="4660"/>
            <w:vAlign w:val="center"/>
          </w:tcPr>
          <w:p>
            <w:pPr>
              <w:spacing w:after="60" w:before="60"/>
            </w:pPr>
            <w:r>
              <w:rPr>
                <w:rFonts w:ascii="Calibri" w:cs="Calibri" w:eastAsia="Calibri" w:hAnsi="Calibri"/>
                <w:b w:val="false"/>
                <w:bCs w:val="false"/>
                <w:color w:val="000000"/>
                <w:sz w:val="20"/>
                <w:szCs w:val="20"/>
              </w:rPr>
              <w:t xml:space="preserve">Initiate breach notification workflow</w:t>
            </w:r>
          </w:p>
        </w:tc>
      </w:tr>
    </w:tbl>
    <w:p>
      <w:pPr>
        <w:spacing w:after="120"/>
        <w:jc w:val="left"/>
      </w:pPr>
      <w:r>
        <w:rPr>
          <w:rFonts w:ascii="Calibri" w:cs="Calibri" w:eastAsia="Calibri" w:hAnsi="Calibri"/>
          <w:sz w:val="22"/>
          <w:szCs w:val="22"/>
        </w:rPr>
        <w:t xml:space="preserve">All endpoints require JWT authentication with organization context. CA firm tokens include a client_org_id claim for cross-organization access. Rate limiting is enforced per organization.</w:t>
      </w:r>
    </w:p>
    <w:p>
      <w:r>
        <w:br w:type="page"/>
      </w:r>
    </w:p>
    <w:p>
      <w:pPr>
        <w:pStyle w:val="Heading1"/>
        <w:spacing w:after="200" w:before="360"/>
      </w:pPr>
      <w:r>
        <w:rPr>
          <w:rFonts w:ascii="Calibri" w:cs="Calibri" w:eastAsia="Calibri" w:hAnsi="Calibri"/>
          <w:b/>
          <w:bCs/>
          <w:color w:val="1B4F72"/>
          <w:sz w:val="32"/>
          <w:szCs w:val="32"/>
        </w:rPr>
        <w:t xml:space="preserve">7. Revenue Model</w:t>
      </w:r>
    </w:p>
    <w:p>
      <w:pPr>
        <w:pStyle w:val="Heading2"/>
        <w:spacing w:after="160" w:before="280"/>
      </w:pPr>
      <w:r>
        <w:rPr>
          <w:rFonts w:ascii="Calibri" w:cs="Calibri" w:eastAsia="Calibri" w:hAnsi="Calibri"/>
          <w:b/>
          <w:bCs/>
          <w:color w:val="1B4F72"/>
          <w:sz w:val="26"/>
          <w:szCs w:val="26"/>
        </w:rP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2200"/>
        <w:gridCol w:w="2360"/>
      </w:tblGrid>
      <w:tr>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Plan</w:t>
            </w:r>
          </w:p>
        </w:tc>
        <w:tc>
          <w:tcPr>
            <w:tcW w:type="dxa" w:w="1800"/>
            <w:shd w:fill="1B4F72" w:color="auto" w:val="clear"/>
            <w:vAlign w:val="center"/>
          </w:tcPr>
          <w:p>
            <w:pPr>
              <w:spacing w:after="60" w:before="60"/>
            </w:pPr>
            <w:r>
              <w:rPr>
                <w:rFonts w:ascii="Calibri" w:cs="Calibri" w:eastAsia="Calibri" w:hAnsi="Calibri"/>
                <w:b/>
                <w:bCs/>
                <w:color w:val="FFFFFF"/>
                <w:sz w:val="20"/>
                <w:szCs w:val="20"/>
              </w:rPr>
              <w:t xml:space="preserve">Monthly Fee</w:t>
            </w:r>
          </w:p>
        </w:tc>
        <w:tc>
          <w:tcPr>
            <w:tcW w:type="dxa" w:w="1400"/>
            <w:shd w:fill="1B4F72" w:color="auto" w:val="clear"/>
            <w:vAlign w:val="center"/>
          </w:tcPr>
          <w:p>
            <w:pPr>
              <w:spacing w:after="60" w:before="60"/>
            </w:pPr>
            <w:r>
              <w:rPr>
                <w:rFonts w:ascii="Calibri" w:cs="Calibri" w:eastAsia="Calibri" w:hAnsi="Calibri"/>
                <w:b/>
                <w:bCs/>
                <w:color w:val="FFFFFF"/>
                <w:sz w:val="20"/>
                <w:szCs w:val="20"/>
              </w:rPr>
              <w:t xml:space="preserve">Entities</w:t>
            </w:r>
          </w:p>
        </w:tc>
        <w:tc>
          <w:tcPr>
            <w:tcW w:type="dxa" w:w="2200"/>
            <w:shd w:fill="1B4F72" w:color="auto" w:val="clear"/>
            <w:vAlign w:val="center"/>
          </w:tcPr>
          <w:p>
            <w:pPr>
              <w:spacing w:after="60" w:before="60"/>
            </w:pPr>
            <w:r>
              <w:rPr>
                <w:rFonts w:ascii="Calibri" w:cs="Calibri" w:eastAsia="Calibri" w:hAnsi="Calibri"/>
                <w:b/>
                <w:bCs/>
                <w:color w:val="FFFFFF"/>
                <w:sz w:val="20"/>
                <w:szCs w:val="20"/>
              </w:rPr>
              <w:t xml:space="preserve">Regulations</w:t>
            </w:r>
          </w:p>
        </w:tc>
        <w:tc>
          <w:tcPr>
            <w:tcW w:type="dxa" w:w="2360"/>
            <w:shd w:fill="1B4F72" w:color="auto" w:val="clear"/>
            <w:vAlign w:val="center"/>
          </w:tcPr>
          <w:p>
            <w:pPr>
              <w:spacing w:after="60" w:before="60"/>
            </w:pPr>
            <w:r>
              <w:rPr>
                <w:rFonts w:ascii="Calibri" w:cs="Calibri" w:eastAsia="Calibri" w:hAnsi="Calibri"/>
                <w:b/>
                <w:bCs/>
                <w:color w:val="FFFFFF"/>
                <w:sz w:val="20"/>
                <w:szCs w:val="20"/>
              </w:rPr>
              <w:t xml:space="preserve">Features</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SMB</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INR 2,999/mo</w:t>
            </w:r>
          </w:p>
        </w:tc>
        <w:tc>
          <w:tcPr>
            <w:tcW w:type="dxa" w:w="1400"/>
            <w:shd w:fill="D6EAF8" w:color="auto" w:val="clear"/>
            <w:vAlign w:val="center"/>
          </w:tcPr>
          <w:p>
            <w:pPr>
              <w:spacing w:after="60" w:before="60"/>
            </w:pPr>
            <w:r>
              <w:rPr>
                <w:rFonts w:ascii="Calibri" w:cs="Calibri" w:eastAsia="Calibri" w:hAnsi="Calibri"/>
                <w:b w:val="false"/>
                <w:bCs w:val="false"/>
                <w:color w:val="000000"/>
                <w:sz w:val="20"/>
                <w:szCs w:val="20"/>
              </w:rPr>
              <w:t xml:space="preserve">1</w:t>
            </w:r>
          </w:p>
        </w:tc>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GST + Income Tax + MCA</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Calendar, reminders, basic filings</w:t>
            </w:r>
          </w:p>
        </w:tc>
      </w:tr>
      <w:tr>
        <w:tc>
          <w:tcPr>
            <w:tcW w:type="dxa" w:w="1600"/>
            <w:vAlign w:val="center"/>
          </w:tcPr>
          <w:p>
            <w:pPr>
              <w:spacing w:after="60" w:before="60"/>
            </w:pPr>
            <w:r>
              <w:rPr>
                <w:rFonts w:ascii="Calibri" w:cs="Calibri" w:eastAsia="Calibri" w:hAnsi="Calibri"/>
                <w:b w:val="false"/>
                <w:bCs w:val="false"/>
                <w:color w:val="000000"/>
                <w:sz w:val="20"/>
                <w:szCs w:val="20"/>
              </w:rPr>
              <w:t xml:space="preserve">Professional</w:t>
            </w:r>
          </w:p>
        </w:tc>
        <w:tc>
          <w:tcPr>
            <w:tcW w:type="dxa" w:w="1800"/>
            <w:vAlign w:val="center"/>
          </w:tcPr>
          <w:p>
            <w:pPr>
              <w:spacing w:after="60" w:before="60"/>
            </w:pPr>
            <w:r>
              <w:rPr>
                <w:rFonts w:ascii="Calibri" w:cs="Calibri" w:eastAsia="Calibri" w:hAnsi="Calibri"/>
                <w:b w:val="false"/>
                <w:bCs w:val="false"/>
                <w:color w:val="000000"/>
                <w:sz w:val="20"/>
                <w:szCs w:val="20"/>
              </w:rPr>
              <w:t xml:space="preserve">INR 9,999/mo</w:t>
            </w:r>
          </w:p>
        </w:tc>
        <w:tc>
          <w:tcPr>
            <w:tcW w:type="dxa" w:w="1400"/>
            <w:vAlign w:val="center"/>
          </w:tcPr>
          <w:p>
            <w:pPr>
              <w:spacing w:after="60" w:before="60"/>
            </w:pPr>
            <w:r>
              <w:rPr>
                <w:rFonts w:ascii="Calibri" w:cs="Calibri" w:eastAsia="Calibri" w:hAnsi="Calibri"/>
                <w:b w:val="false"/>
                <w:bCs w:val="false"/>
                <w:color w:val="000000"/>
                <w:sz w:val="20"/>
                <w:szCs w:val="20"/>
              </w:rPr>
              <w:t xml:space="preserve">Up to 25</w:t>
            </w:r>
          </w:p>
        </w:tc>
        <w:tc>
          <w:tcPr>
            <w:tcW w:type="dxa" w:w="2200"/>
            <w:vAlign w:val="center"/>
          </w:tcPr>
          <w:p>
            <w:pPr>
              <w:spacing w:after="60" w:before="60"/>
            </w:pPr>
            <w:r>
              <w:rPr>
                <w:rFonts w:ascii="Calibri" w:cs="Calibri" w:eastAsia="Calibri" w:hAnsi="Calibri"/>
                <w:b w:val="false"/>
                <w:bCs w:val="false"/>
                <w:color w:val="000000"/>
                <w:sz w:val="20"/>
                <w:szCs w:val="20"/>
              </w:rPr>
              <w:t xml:space="preserve">All regulations</w:t>
            </w:r>
          </w:p>
        </w:tc>
        <w:tc>
          <w:tcPr>
            <w:tcW w:type="dxa" w:w="2360"/>
            <w:vAlign w:val="center"/>
          </w:tcPr>
          <w:p>
            <w:pPr>
              <w:spacing w:after="60" w:before="60"/>
            </w:pPr>
            <w:r>
              <w:rPr>
                <w:rFonts w:ascii="Calibri" w:cs="Calibri" w:eastAsia="Calibri" w:hAnsi="Calibri"/>
                <w:b w:val="false"/>
                <w:bCs w:val="false"/>
                <w:color w:val="000000"/>
                <w:sz w:val="20"/>
                <w:szCs w:val="20"/>
              </w:rPr>
              <w:t xml:space="preserve">Multi-entity, filing generation, DPDP toolkit</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CA Firm</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INR 19,999/mo</w:t>
            </w:r>
          </w:p>
        </w:tc>
        <w:tc>
          <w:tcPr>
            <w:tcW w:type="dxa" w:w="1400"/>
            <w:shd w:fill="D6EAF8" w:color="auto" w:val="clear"/>
            <w:vAlign w:val="center"/>
          </w:tcPr>
          <w:p>
            <w:pPr>
              <w:spacing w:after="60" w:before="60"/>
            </w:pPr>
            <w:r>
              <w:rPr>
                <w:rFonts w:ascii="Calibri" w:cs="Calibri" w:eastAsia="Calibri" w:hAnsi="Calibri"/>
                <w:b w:val="false"/>
                <w:bCs w:val="false"/>
                <w:color w:val="000000"/>
                <w:sz w:val="20"/>
                <w:szCs w:val="20"/>
              </w:rPr>
              <w:t xml:space="preserve">Up to 100</w:t>
            </w:r>
          </w:p>
        </w:tc>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All regulations</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Staff management, bulk operations, client portal</w:t>
            </w:r>
          </w:p>
        </w:tc>
      </w:tr>
      <w:tr>
        <w:tc>
          <w:tcPr>
            <w:tcW w:type="dxa" w:w="1600"/>
            <w:vAlign w:val="center"/>
          </w:tcPr>
          <w:p>
            <w:pPr>
              <w:spacing w:after="60" w:before="60"/>
            </w:pPr>
            <w:r>
              <w:rPr>
                <w:rFonts w:ascii="Calibri" w:cs="Calibri" w:eastAsia="Calibri" w:hAnsi="Calibri"/>
                <w:b w:val="false"/>
                <w:bCs w:val="false"/>
                <w:color w:val="000000"/>
                <w:sz w:val="20"/>
                <w:szCs w:val="20"/>
              </w:rPr>
              <w:t xml:space="preserve">Enterprise</w:t>
            </w:r>
          </w:p>
        </w:tc>
        <w:tc>
          <w:tcPr>
            <w:tcW w:type="dxa" w:w="1800"/>
            <w:vAlign w:val="center"/>
          </w:tcPr>
          <w:p>
            <w:pPr>
              <w:spacing w:after="60" w:before="60"/>
            </w:pPr>
            <w:r>
              <w:rPr>
                <w:rFonts w:ascii="Calibri" w:cs="Calibri" w:eastAsia="Calibri" w:hAnsi="Calibri"/>
                <w:b w:val="false"/>
                <w:bCs w:val="false"/>
                <w:color w:val="000000"/>
                <w:sz w:val="20"/>
                <w:szCs w:val="20"/>
              </w:rPr>
              <w:t xml:space="preserve">INR 29,999/mo</w:t>
            </w:r>
          </w:p>
        </w:tc>
        <w:tc>
          <w:tcPr>
            <w:tcW w:type="dxa" w:w="1400"/>
            <w:vAlign w:val="center"/>
          </w:tcPr>
          <w:p>
            <w:pPr>
              <w:spacing w:after="60" w:before="60"/>
            </w:pPr>
            <w:r>
              <w:rPr>
                <w:rFonts w:ascii="Calibri" w:cs="Calibri" w:eastAsia="Calibri" w:hAnsi="Calibri"/>
                <w:b w:val="false"/>
                <w:bCs w:val="false"/>
                <w:color w:val="000000"/>
                <w:sz w:val="20"/>
                <w:szCs w:val="20"/>
              </w:rPr>
              <w:t xml:space="preserve">Unlimited</w:t>
            </w:r>
          </w:p>
        </w:tc>
        <w:tc>
          <w:tcPr>
            <w:tcW w:type="dxa" w:w="2200"/>
            <w:vAlign w:val="center"/>
          </w:tcPr>
          <w:p>
            <w:pPr>
              <w:spacing w:after="60" w:before="60"/>
            </w:pPr>
            <w:r>
              <w:rPr>
                <w:rFonts w:ascii="Calibri" w:cs="Calibri" w:eastAsia="Calibri" w:hAnsi="Calibri"/>
                <w:b w:val="false"/>
                <w:bCs w:val="false"/>
                <w:color w:val="000000"/>
                <w:sz w:val="20"/>
                <w:szCs w:val="20"/>
              </w:rPr>
              <w:t xml:space="preserve">All + custom</w:t>
            </w:r>
          </w:p>
        </w:tc>
        <w:tc>
          <w:tcPr>
            <w:tcW w:type="dxa" w:w="2360"/>
            <w:vAlign w:val="center"/>
          </w:tcPr>
          <w:p>
            <w:pPr>
              <w:spacing w:after="60" w:before="60"/>
            </w:pPr>
            <w:r>
              <w:rPr>
                <w:rFonts w:ascii="Calibri" w:cs="Calibri" w:eastAsia="Calibri" w:hAnsi="Calibri"/>
                <w:b w:val="false"/>
                <w:bCs w:val="false"/>
                <w:color w:val="000000"/>
                <w:sz w:val="20"/>
                <w:szCs w:val="20"/>
              </w:rPr>
              <w:t xml:space="preserve">API access, custom integrations, dedicated support</w:t>
            </w:r>
          </w:p>
        </w:tc>
      </w:tr>
    </w:tbl>
    <w:p>
      <w:pPr>
        <w:spacing w:after="120"/>
        <w:jc w:val="left"/>
      </w:pPr>
      <w:r>
        <w:rPr>
          <w:rFonts w:ascii="Calibri" w:cs="Calibri" w:eastAsia="Calibri" w:hAnsi="Calibri"/>
          <w:sz w:val="22"/>
          <w:szCs w:val="22"/>
        </w:rPr>
        <w:t xml:space="preserve">Annual billing receives a 20% discount. Additional entities can be added at INR 299/entity/month on the Professional plan and INR 199/entity/month on the CA Firm plan. All plans include WhatsApp and email notifications.</w:t>
      </w:r>
    </w:p>
    <w:p>
      <w:pPr>
        <w:pStyle w:val="Heading1"/>
        <w:spacing w:after="200" w:before="360"/>
      </w:pPr>
      <w:r>
        <w:rPr>
          <w:rFonts w:ascii="Calibri" w:cs="Calibri" w:eastAsia="Calibri" w:hAnsi="Calibri"/>
          <w:b/>
          <w:bCs/>
          <w:color w:val="1B4F72"/>
          <w:sz w:val="32"/>
          <w:szCs w:val="32"/>
        </w:rPr>
        <w:t xml:space="preserve">8. Security</w:t>
      </w:r>
    </w:p>
    <w:p>
      <w:pPr>
        <w:pStyle w:val="Heading2"/>
        <w:spacing w:after="160" w:before="280"/>
      </w:pPr>
      <w:r>
        <w:rPr>
          <w:rFonts w:ascii="Calibri" w:cs="Calibri" w:eastAsia="Calibri" w:hAnsi="Calibri"/>
          <w:b/>
          <w:bCs/>
          <w:color w:val="1B4F72"/>
          <w:sz w:val="26"/>
          <w:szCs w:val="26"/>
        </w:rPr>
        <w:t xml:space="preserve">8.1 Data Protection</w:t>
      </w:r>
    </w:p>
    <w:p>
      <w:pPr>
        <w:spacing w:after="120"/>
        <w:jc w:val="left"/>
      </w:pPr>
      <w:r>
        <w:rPr>
          <w:rFonts w:ascii="Calibri" w:cs="Calibri" w:eastAsia="Calibri" w:hAnsi="Calibri"/>
          <w:sz w:val="22"/>
          <w:szCs w:val="22"/>
        </w:rPr>
        <w:t xml:space="preserve">All data is encrypted at rest using AES-256 and in transit using TLS 1.3. Database backups are encrypted and stored in a geographically separate location within India (data residency requirement). PII fields (PAN, Aadhaar, GST numbers) are encrypted at the column level using application-layer encryption.</w:t>
      </w:r>
    </w:p>
    <w:p>
      <w:pPr>
        <w:pStyle w:val="Heading2"/>
        <w:spacing w:after="160" w:before="280"/>
      </w:pPr>
      <w:r>
        <w:rPr>
          <w:rFonts w:ascii="Calibri" w:cs="Calibri" w:eastAsia="Calibri" w:hAnsi="Calibri"/>
          <w:b/>
          <w:bCs/>
          <w:color w:val="1B4F72"/>
          <w:sz w:val="26"/>
          <w:szCs w:val="26"/>
        </w:rPr>
        <w:t xml:space="preserve">8.2 Access Control</w:t>
      </w:r>
    </w:p>
    <w:p>
      <w:pPr>
        <w:spacing w:after="120"/>
        <w:jc w:val="left"/>
      </w:pPr>
      <w:r>
        <w:rPr>
          <w:rFonts w:ascii="Calibri" w:cs="Calibri" w:eastAsia="Calibri" w:hAnsi="Calibri"/>
          <w:sz w:val="22"/>
          <w:szCs w:val="22"/>
        </w:rPr>
        <w:t xml:space="preserve">Role-based access control (RBAC) with four default roles: Admin, Compliance Manager, Staff, and Read-Only. CA firms can define custom roles. All role changes are logged in the audit trail. Two-factor authentication (TOTP) is mandatory for Admin and Compliance Manager roles.</w:t>
      </w:r>
    </w:p>
    <w:p>
      <w:pPr>
        <w:pStyle w:val="Heading2"/>
        <w:spacing w:after="160" w:before="280"/>
      </w:pPr>
      <w:r>
        <w:rPr>
          <w:rFonts w:ascii="Calibri" w:cs="Calibri" w:eastAsia="Calibri" w:hAnsi="Calibri"/>
          <w:b/>
          <w:bCs/>
          <w:color w:val="1B4F72"/>
          <w:sz w:val="26"/>
          <w:szCs w:val="26"/>
        </w:rPr>
        <w:t xml:space="preserve">8.3 Audit and Compliance</w:t>
      </w:r>
    </w:p>
    <w:p>
      <w:pPr>
        <w:spacing w:after="120"/>
        <w:jc w:val="left"/>
      </w:pPr>
      <w:r>
        <w:rPr>
          <w:rFonts w:ascii="Calibri" w:cs="Calibri" w:eastAsia="Calibri" w:hAnsi="Calibri"/>
          <w:sz w:val="22"/>
          <w:szCs w:val="22"/>
        </w:rPr>
        <w:t xml:space="preserve">The platform itself is designed to be audit-ready. The tamper-proof audit trail, encrypted storage, access controls, and data residency compliance ensure that CompliPilot meets the requirements it helps clients fulfill. SOC 2 Type II certification is planned for Year 2.</w:t>
      </w:r>
    </w:p>
    <w:p>
      <w:pPr>
        <w:pStyle w:val="Heading1"/>
        <w:spacing w:after="200" w:before="360"/>
      </w:pPr>
      <w:r>
        <w:rPr>
          <w:rFonts w:ascii="Calibri" w:cs="Calibri" w:eastAsia="Calibri" w:hAnsi="Calibri"/>
          <w:b/>
          <w:bCs/>
          <w:color w:val="1B4F72"/>
          <w:sz w:val="32"/>
          <w:szCs w:val="32"/>
        </w:rPr>
        <w:t xml:space="preserve">9. Testing Strategy</w:t>
      </w:r>
    </w:p>
    <w:p>
      <w:pPr>
        <w:pStyle w:val="Heading2"/>
        <w:spacing w:after="160" w:before="280"/>
      </w:pPr>
      <w:r>
        <w:rPr>
          <w:rFonts w:ascii="Calibri" w:cs="Calibri" w:eastAsia="Calibri" w:hAnsi="Calibri"/>
          <w:b/>
          <w:bCs/>
          <w:color w:val="1B4F72"/>
          <w:sz w:val="26"/>
          <w:szCs w:val="26"/>
        </w:rPr>
        <w:t xml:space="preserve">9.1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shd w:fill="1B4F72" w:color="auto" w:val="clear"/>
            <w:vAlign w:val="center"/>
          </w:tcPr>
          <w:p>
            <w:pPr>
              <w:spacing w:after="60" w:before="60"/>
            </w:pPr>
            <w:r>
              <w:rPr>
                <w:rFonts w:ascii="Calibri" w:cs="Calibri" w:eastAsia="Calibri" w:hAnsi="Calibri"/>
                <w:b/>
                <w:bCs/>
                <w:color w:val="FFFFFF"/>
                <w:sz w:val="20"/>
                <w:szCs w:val="20"/>
              </w:rPr>
              <w:t xml:space="preserve">Category</w:t>
            </w:r>
          </w:p>
        </w:tc>
        <w:tc>
          <w:tcPr>
            <w:tcW w:type="dxa" w:w="2800"/>
            <w:shd w:fill="1B4F72" w:color="auto" w:val="clear"/>
            <w:vAlign w:val="center"/>
          </w:tcPr>
          <w:p>
            <w:pPr>
              <w:spacing w:after="60" w:before="60"/>
            </w:pPr>
            <w:r>
              <w:rPr>
                <w:rFonts w:ascii="Calibri" w:cs="Calibri" w:eastAsia="Calibri" w:hAnsi="Calibri"/>
                <w:b/>
                <w:bCs/>
                <w:color w:val="FFFFFF"/>
                <w:sz w:val="20"/>
                <w:szCs w:val="20"/>
              </w:rPr>
              <w:t xml:space="preserve">Scope</w:t>
            </w:r>
          </w:p>
        </w:tc>
        <w:tc>
          <w:tcPr>
            <w:tcW w:type="dxa" w:w="2200"/>
            <w:shd w:fill="1B4F72" w:color="auto" w:val="clear"/>
            <w:vAlign w:val="center"/>
          </w:tcPr>
          <w:p>
            <w:pPr>
              <w:spacing w:after="60" w:before="60"/>
            </w:pPr>
            <w:r>
              <w:rPr>
                <w:rFonts w:ascii="Calibri" w:cs="Calibri" w:eastAsia="Calibri" w:hAnsi="Calibri"/>
                <w:b/>
                <w:bCs/>
                <w:color w:val="FFFFFF"/>
                <w:sz w:val="20"/>
                <w:szCs w:val="20"/>
              </w:rPr>
              <w:t xml:space="preserve">Tools</w:t>
            </w:r>
          </w:p>
        </w:tc>
        <w:tc>
          <w:tcPr>
            <w:tcW w:type="dxa" w:w="2360"/>
            <w:shd w:fill="1B4F72" w:color="auto" w:val="clear"/>
            <w:vAlign w:val="center"/>
          </w:tcPr>
          <w:p>
            <w:pPr>
              <w:spacing w:after="60" w:before="60"/>
            </w:pPr>
            <w:r>
              <w:rPr>
                <w:rFonts w:ascii="Calibri" w:cs="Calibri" w:eastAsia="Calibri" w:hAnsi="Calibri"/>
                <w:b/>
                <w:bCs/>
                <w:color w:val="FFFFFF"/>
                <w:sz w:val="20"/>
                <w:szCs w:val="20"/>
              </w:rPr>
              <w:t xml:space="preserve">Coverage Target</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Unit Tests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Regulatory rule engine, deadline calculator</w:t>
            </w:r>
          </w:p>
        </w:tc>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pytest, unittest.mock</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&gt;90% line coverage</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Integration Tests</w:t>
            </w:r>
          </w:p>
        </w:tc>
        <w:tc>
          <w:tcPr>
            <w:tcW w:type="dxa" w:w="2800"/>
            <w:vAlign w:val="center"/>
          </w:tcPr>
          <w:p>
            <w:pPr>
              <w:spacing w:after="60" w:before="60"/>
            </w:pPr>
            <w:r>
              <w:rPr>
                <w:rFonts w:ascii="Calibri" w:cs="Calibri" w:eastAsia="Calibri" w:hAnsi="Calibri"/>
                <w:b w:val="false"/>
                <w:bCs w:val="false"/>
                <w:color w:val="000000"/>
                <w:sz w:val="20"/>
                <w:szCs w:val="20"/>
              </w:rPr>
              <w:t xml:space="preserve">Filing generation, document parsing</w:t>
            </w:r>
          </w:p>
        </w:tc>
        <w:tc>
          <w:tcPr>
            <w:tcW w:type="dxa" w:w="2200"/>
            <w:vAlign w:val="center"/>
          </w:tcPr>
          <w:p>
            <w:pPr>
              <w:spacing w:after="60" w:before="60"/>
            </w:pPr>
            <w:r>
              <w:rPr>
                <w:rFonts w:ascii="Calibri" w:cs="Calibri" w:eastAsia="Calibri" w:hAnsi="Calibri"/>
                <w:b w:val="false"/>
                <w:bCs w:val="false"/>
                <w:color w:val="000000"/>
                <w:sz w:val="20"/>
                <w:szCs w:val="20"/>
              </w:rPr>
              <w:t xml:space="preserve">pytest + testcontainers</w:t>
            </w:r>
          </w:p>
        </w:tc>
        <w:tc>
          <w:tcPr>
            <w:tcW w:type="dxa" w:w="2360"/>
            <w:vAlign w:val="center"/>
          </w:tcPr>
          <w:p>
            <w:pPr>
              <w:spacing w:after="60" w:before="60"/>
            </w:pPr>
            <w:r>
              <w:rPr>
                <w:rFonts w:ascii="Calibri" w:cs="Calibri" w:eastAsia="Calibri" w:hAnsi="Calibri"/>
                <w:b w:val="false"/>
                <w:bCs w:val="false"/>
                <w:color w:val="000000"/>
                <w:sz w:val="20"/>
                <w:szCs w:val="20"/>
              </w:rPr>
              <w:t xml:space="preserve">&gt;80% path coverage</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Regulatory Tests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Deadline accuracy, filing format validation</w:t>
            </w:r>
          </w:p>
        </w:tc>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Custom rule test suite</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100% of supported filings</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Security Tests</w:t>
            </w:r>
          </w:p>
        </w:tc>
        <w:tc>
          <w:tcPr>
            <w:tcW w:type="dxa" w:w="2800"/>
            <w:vAlign w:val="center"/>
          </w:tcPr>
          <w:p>
            <w:pPr>
              <w:spacing w:after="60" w:before="60"/>
            </w:pPr>
            <w:r>
              <w:rPr>
                <w:rFonts w:ascii="Calibri" w:cs="Calibri" w:eastAsia="Calibri" w:hAnsi="Calibri"/>
                <w:b w:val="false"/>
                <w:bCs w:val="false"/>
                <w:color w:val="000000"/>
                <w:sz w:val="20"/>
                <w:szCs w:val="20"/>
              </w:rPr>
              <w:t xml:space="preserve">Auth, RBAC, encryption, audit integrity</w:t>
            </w:r>
          </w:p>
        </w:tc>
        <w:tc>
          <w:tcPr>
            <w:tcW w:type="dxa" w:w="2200"/>
            <w:vAlign w:val="center"/>
          </w:tcPr>
          <w:p>
            <w:pPr>
              <w:spacing w:after="60" w:before="60"/>
            </w:pPr>
            <w:r>
              <w:rPr>
                <w:rFonts w:ascii="Calibri" w:cs="Calibri" w:eastAsia="Calibri" w:hAnsi="Calibri"/>
                <w:b w:val="false"/>
                <w:bCs w:val="false"/>
                <w:color w:val="000000"/>
                <w:sz w:val="20"/>
                <w:szCs w:val="20"/>
              </w:rPr>
              <w:t xml:space="preserve">OWASP ZAP, custom scripts</w:t>
            </w:r>
          </w:p>
        </w:tc>
        <w:tc>
          <w:tcPr>
            <w:tcW w:type="dxa" w:w="2360"/>
            <w:vAlign w:val="center"/>
          </w:tcPr>
          <w:p>
            <w:pPr>
              <w:spacing w:after="60" w:before="60"/>
            </w:pPr>
            <w:r>
              <w:rPr>
                <w:rFonts w:ascii="Calibri" w:cs="Calibri" w:eastAsia="Calibri" w:hAnsi="Calibri"/>
                <w:b w:val="false"/>
                <w:bCs w:val="false"/>
                <w:color w:val="000000"/>
                <w:sz w:val="20"/>
                <w:szCs w:val="20"/>
              </w:rPr>
              <w:t xml:space="preserve">All OWASP Top 10</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E2E Tests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Full filing workflow from draft to submission</w:t>
            </w:r>
          </w:p>
        </w:tc>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Playwright</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All critical workflows</w:t>
            </w:r>
          </w:p>
        </w:tc>
      </w:tr>
    </w:tbl>
    <w:p>
      <w:pPr>
        <w:pStyle w:val="Heading2"/>
        <w:spacing w:after="160" w:before="280"/>
      </w:pPr>
      <w:r>
        <w:rPr>
          <w:rFonts w:ascii="Calibri" w:cs="Calibri" w:eastAsia="Calibri" w:hAnsi="Calibri"/>
          <w:b/>
          <w:bCs/>
          <w:color w:val="1B4F72"/>
          <w:sz w:val="26"/>
          <w:szCs w:val="26"/>
        </w:rPr>
        <w:t xml:space="preserve">9.2 Regulatory Rule Testing</w:t>
      </w:r>
    </w:p>
    <w:p>
      <w:pPr>
        <w:spacing w:after="120"/>
        <w:jc w:val="left"/>
      </w:pPr>
      <w:r>
        <w:rPr>
          <w:rFonts w:ascii="Calibri" w:cs="Calibri" w:eastAsia="Calibri" w:hAnsi="Calibri"/>
          <w:sz w:val="22"/>
          <w:szCs w:val="22"/>
        </w:rPr>
        <w:t xml:space="preserve">Each regulatory rule (deadline calculation, filing requirement, entity applicability) has dedicated test cases derived from the actual regulation text. Tests are updated whenever a regulatory change affects the rule. A regulatory test failure blocks deployment.</w:t>
      </w:r>
    </w:p>
    <w:p>
      <w:r>
        <w:br w:type="page"/>
      </w:r>
    </w:p>
    <w:p>
      <w:pPr>
        <w:pStyle w:val="Heading1"/>
        <w:spacing w:after="200" w:before="360"/>
      </w:pPr>
      <w:r>
        <w:rPr>
          <w:rFonts w:ascii="Calibri" w:cs="Calibri" w:eastAsia="Calibri" w:hAnsi="Calibri"/>
          <w:b/>
          <w:bCs/>
          <w:color w:val="1B4F72"/>
          <w:sz w:val="32"/>
          <w:szCs w:val="32"/>
        </w:rPr>
        <w:t xml:space="preserve">10.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3160"/>
      </w:tblGrid>
      <w:tr>
        <w:tc>
          <w:tcPr>
            <w:tcW w:type="dxa" w:w="1200"/>
            <w:shd w:fill="1B4F72" w:color="auto" w:val="clear"/>
            <w:vAlign w:val="center"/>
          </w:tcPr>
          <w:p>
            <w:pPr>
              <w:spacing w:after="60" w:before="60"/>
            </w:pPr>
            <w:r>
              <w:rPr>
                <w:rFonts w:ascii="Calibri" w:cs="Calibri" w:eastAsia="Calibri" w:hAnsi="Calibri"/>
                <w:b/>
                <w:bCs/>
                <w:color w:val="FFFFFF"/>
                <w:sz w:val="20"/>
                <w:szCs w:val="20"/>
              </w:rPr>
              <w:t xml:space="preserve">Phase</w:t>
            </w:r>
          </w:p>
        </w:tc>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Timeline</w:t>
            </w:r>
          </w:p>
        </w:tc>
        <w:tc>
          <w:tcPr>
            <w:tcW w:type="dxa" w:w="3400"/>
            <w:shd w:fill="1B4F72" w:color="auto" w:val="clear"/>
            <w:vAlign w:val="center"/>
          </w:tcPr>
          <w:p>
            <w:pPr>
              <w:spacing w:after="60" w:before="60"/>
            </w:pPr>
            <w:r>
              <w:rPr>
                <w:rFonts w:ascii="Calibri" w:cs="Calibri" w:eastAsia="Calibri" w:hAnsi="Calibri"/>
                <w:b/>
                <w:bCs/>
                <w:color w:val="FFFFFF"/>
                <w:sz w:val="20"/>
                <w:szCs w:val="20"/>
              </w:rPr>
              <w:t xml:space="preserve">Deliverables</w:t>
            </w:r>
          </w:p>
        </w:tc>
        <w:tc>
          <w:tcPr>
            <w:tcW w:type="dxa" w:w="3160"/>
            <w:shd w:fill="1B4F72" w:color="auto" w:val="clear"/>
            <w:vAlign w:val="center"/>
          </w:tcPr>
          <w:p>
            <w:pPr>
              <w:spacing w:after="60" w:before="60"/>
            </w:pPr>
            <w:r>
              <w:rPr>
                <w:rFonts w:ascii="Calibri" w:cs="Calibri" w:eastAsia="Calibri" w:hAnsi="Calibri"/>
                <w:b/>
                <w:bCs/>
                <w:color w:val="FFFFFF"/>
                <w:sz w:val="20"/>
                <w:szCs w:val="20"/>
              </w:rPr>
              <w:t xml:space="preserve">Success Criteria</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MVP</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Weeks 1-6</w:t>
            </w:r>
          </w:p>
        </w:tc>
        <w:tc>
          <w:tcPr>
            <w:tcW w:type="dxa" w:w="3400"/>
            <w:shd w:fill="D6EAF8" w:color="auto" w:val="clear"/>
            <w:vAlign w:val="center"/>
          </w:tcPr>
          <w:p>
            <w:pPr>
              <w:spacing w:after="60" w:before="60"/>
            </w:pPr>
            <w:r>
              <w:rPr>
                <w:rFonts w:ascii="Calibri" w:cs="Calibri" w:eastAsia="Calibri" w:hAnsi="Calibri"/>
                <w:b w:val="false"/>
                <w:bCs w:val="false"/>
                <w:color w:val="000000"/>
                <w:sz w:val="20"/>
                <w:szCs w:val="20"/>
              </w:rPr>
              <w:t xml:space="preserve">GST + MCA compliance, calendar, reminders, basic filings</w:t>
            </w:r>
          </w:p>
        </w:tc>
        <w:tc>
          <w:tcPr>
            <w:tcW w:type="dxa" w:w="3160"/>
            <w:shd w:fill="D6EAF8" w:color="auto" w:val="clear"/>
            <w:vAlign w:val="center"/>
          </w:tcPr>
          <w:p>
            <w:pPr>
              <w:spacing w:after="60" w:before="60"/>
            </w:pPr>
            <w:r>
              <w:rPr>
                <w:rFonts w:ascii="Calibri" w:cs="Calibri" w:eastAsia="Calibri" w:hAnsi="Calibri"/>
                <w:b w:val="false"/>
                <w:bCs w:val="false"/>
                <w:color w:val="000000"/>
                <w:sz w:val="20"/>
                <w:szCs w:val="20"/>
              </w:rPr>
              <w:t xml:space="preserve">20 SMB pilot users, zero missed deadlines</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Phase 2</w:t>
            </w:r>
          </w:p>
        </w:tc>
        <w:tc>
          <w:tcPr>
            <w:tcW w:type="dxa" w:w="1600"/>
            <w:vAlign w:val="center"/>
          </w:tcPr>
          <w:p>
            <w:pPr>
              <w:spacing w:after="60" w:before="60"/>
            </w:pPr>
            <w:r>
              <w:rPr>
                <w:rFonts w:ascii="Calibri" w:cs="Calibri" w:eastAsia="Calibri" w:hAnsi="Calibri"/>
                <w:b w:val="false"/>
                <w:bCs w:val="false"/>
                <w:color w:val="000000"/>
                <w:sz w:val="20"/>
                <w:szCs w:val="20"/>
              </w:rPr>
              <w:t xml:space="preserve">Weeks 7-10</w:t>
            </w:r>
          </w:p>
        </w:tc>
        <w:tc>
          <w:tcPr>
            <w:tcW w:type="dxa" w:w="3400"/>
            <w:vAlign w:val="center"/>
          </w:tcPr>
          <w:p>
            <w:pPr>
              <w:spacing w:after="60" w:before="60"/>
            </w:pPr>
            <w:r>
              <w:rPr>
                <w:rFonts w:ascii="Calibri" w:cs="Calibri" w:eastAsia="Calibri" w:hAnsi="Calibri"/>
                <w:b w:val="false"/>
                <w:bCs w:val="false"/>
                <w:color w:val="000000"/>
                <w:sz w:val="20"/>
                <w:szCs w:val="20"/>
              </w:rPr>
              <w:t xml:space="preserve">RBI + SEBI compliance, CA firm multi-entity, regulatory alerts</w:t>
            </w:r>
          </w:p>
        </w:tc>
        <w:tc>
          <w:tcPr>
            <w:tcW w:type="dxa" w:w="3160"/>
            <w:vAlign w:val="center"/>
          </w:tcPr>
          <w:p>
            <w:pPr>
              <w:spacing w:after="60" w:before="60"/>
            </w:pPr>
            <w:r>
              <w:rPr>
                <w:rFonts w:ascii="Calibri" w:cs="Calibri" w:eastAsia="Calibri" w:hAnsi="Calibri"/>
                <w:b w:val="false"/>
                <w:bCs w:val="false"/>
                <w:color w:val="000000"/>
                <w:sz w:val="20"/>
                <w:szCs w:val="20"/>
              </w:rPr>
              <w:t xml:space="preserve">5 CA firms onboarded, 50+ entities managed</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Phase 3</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Weeks 11-12</w:t>
            </w:r>
          </w:p>
        </w:tc>
        <w:tc>
          <w:tcPr>
            <w:tcW w:type="dxa" w:w="3400"/>
            <w:shd w:fill="D6EAF8" w:color="auto" w:val="clear"/>
            <w:vAlign w:val="center"/>
          </w:tcPr>
          <w:p>
            <w:pPr>
              <w:spacing w:after="60" w:before="60"/>
            </w:pPr>
            <w:r>
              <w:rPr>
                <w:rFonts w:ascii="Calibri" w:cs="Calibri" w:eastAsia="Calibri" w:hAnsi="Calibri"/>
                <w:b w:val="false"/>
                <w:bCs w:val="false"/>
                <w:color w:val="000000"/>
                <w:sz w:val="20"/>
                <w:szCs w:val="20"/>
              </w:rPr>
              <w:t xml:space="preserve">DPDP toolkit, labor law compliance, template library</w:t>
            </w:r>
          </w:p>
        </w:tc>
        <w:tc>
          <w:tcPr>
            <w:tcW w:type="dxa" w:w="3160"/>
            <w:shd w:fill="D6EAF8" w:color="auto" w:val="clear"/>
            <w:vAlign w:val="center"/>
          </w:tcPr>
          <w:p>
            <w:pPr>
              <w:spacing w:after="60" w:before="60"/>
            </w:pPr>
            <w:r>
              <w:rPr>
                <w:rFonts w:ascii="Calibri" w:cs="Calibri" w:eastAsia="Calibri" w:hAnsi="Calibri"/>
                <w:b w:val="false"/>
                <w:bCs w:val="false"/>
                <w:color w:val="000000"/>
                <w:sz w:val="20"/>
                <w:szCs w:val="20"/>
              </w:rPr>
              <w:t xml:space="preserve">Full regulatory coverage operational</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Beta</w:t>
            </w:r>
          </w:p>
        </w:tc>
        <w:tc>
          <w:tcPr>
            <w:tcW w:type="dxa" w:w="1600"/>
            <w:vAlign w:val="center"/>
          </w:tcPr>
          <w:p>
            <w:pPr>
              <w:spacing w:after="60" w:before="60"/>
            </w:pPr>
            <w:r>
              <w:rPr>
                <w:rFonts w:ascii="Calibri" w:cs="Calibri" w:eastAsia="Calibri" w:hAnsi="Calibri"/>
                <w:b w:val="false"/>
                <w:bCs w:val="false"/>
                <w:color w:val="000000"/>
                <w:sz w:val="20"/>
                <w:szCs w:val="20"/>
              </w:rPr>
              <w:t xml:space="preserve">Weeks 13-14</w:t>
            </w:r>
          </w:p>
        </w:tc>
        <w:tc>
          <w:tcPr>
            <w:tcW w:type="dxa" w:w="3400"/>
            <w:vAlign w:val="center"/>
          </w:tcPr>
          <w:p>
            <w:pPr>
              <w:spacing w:after="60" w:before="60"/>
            </w:pPr>
            <w:r>
              <w:rPr>
                <w:rFonts w:ascii="Calibri" w:cs="Calibri" w:eastAsia="Calibri" w:hAnsi="Calibri"/>
                <w:b w:val="false"/>
                <w:bCs w:val="false"/>
                <w:color w:val="000000"/>
                <w:sz w:val="20"/>
                <w:szCs w:val="20"/>
              </w:rPr>
              <w:t xml:space="preserve">Filing generation, document parser, GSTBot integration</w:t>
            </w:r>
          </w:p>
        </w:tc>
        <w:tc>
          <w:tcPr>
            <w:tcW w:type="dxa" w:w="3160"/>
            <w:vAlign w:val="center"/>
          </w:tcPr>
          <w:p>
            <w:pPr>
              <w:spacing w:after="60" w:before="60"/>
            </w:pPr>
            <w:r>
              <w:rPr>
                <w:rFonts w:ascii="Calibri" w:cs="Calibri" w:eastAsia="Calibri" w:hAnsi="Calibri"/>
                <w:b w:val="false"/>
                <w:bCs w:val="false"/>
                <w:color w:val="000000"/>
                <w:sz w:val="20"/>
                <w:szCs w:val="20"/>
              </w:rPr>
              <w:t xml:space="preserve">100+ active organizations</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GA</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Weeks 15-16</w:t>
            </w:r>
          </w:p>
        </w:tc>
        <w:tc>
          <w:tcPr>
            <w:tcW w:type="dxa" w:w="3400"/>
            <w:shd w:fill="D6EAF8" w:color="auto" w:val="clear"/>
            <w:vAlign w:val="center"/>
          </w:tcPr>
          <w:p>
            <w:pPr>
              <w:spacing w:after="60" w:before="60"/>
            </w:pPr>
            <w:r>
              <w:rPr>
                <w:rFonts w:ascii="Calibri" w:cs="Calibri" w:eastAsia="Calibri" w:hAnsi="Calibri"/>
                <w:b w:val="false"/>
                <w:bCs w:val="false"/>
                <w:color w:val="000000"/>
                <w:sz w:val="20"/>
                <w:szCs w:val="20"/>
              </w:rPr>
              <w:t xml:space="preserve">Production hardening, billing, onboarding automation</w:t>
            </w:r>
          </w:p>
        </w:tc>
        <w:tc>
          <w:tcPr>
            <w:tcW w:type="dxa" w:w="3160"/>
            <w:shd w:fill="D6EAF8" w:color="auto" w:val="clear"/>
            <w:vAlign w:val="center"/>
          </w:tcPr>
          <w:p>
            <w:pPr>
              <w:spacing w:after="60" w:before="60"/>
            </w:pPr>
            <w:r>
              <w:rPr>
                <w:rFonts w:ascii="Calibri" w:cs="Calibri" w:eastAsia="Calibri" w:hAnsi="Calibri"/>
                <w:b w:val="false"/>
                <w:bCs w:val="false"/>
                <w:color w:val="000000"/>
                <w:sz w:val="20"/>
                <w:szCs w:val="20"/>
              </w:rPr>
              <w:t xml:space="preserve">Public launch with SLA</w:t>
            </w:r>
          </w:p>
        </w:tc>
      </w:tr>
    </w:tbl>
    <w:p>
      <w:pPr>
        <w:spacing w:after="120"/>
        <w:jc w:val="left"/>
      </w:pPr>
      <w:r>
        <w:rPr>
          <w:rFonts w:ascii="Calibri" w:cs="Calibri" w:eastAsia="Calibri" w:hAnsi="Calibri"/>
          <w:sz w:val="22"/>
          <w:szCs w:val="22"/>
        </w:rPr>
        <w:t xml:space="preserve">The MVP focuses on GST and MCA compliance as these represent the highest-volume obligations for Indian SMBs. Each subsequent phase adds regulatory domains based on client demand and market research.</w:t>
      </w:r>
    </w:p>
    <w:p>
      <w:pPr>
        <w:pBdr>
          <w:bottom w:val="single" w:color="1B4F72" w:sz="6"/>
        </w:pBdr>
        <w:spacing w:after="200" w:before="200"/>
      </w:pPr>
    </w:p>
    <w:p>
      <w:pPr>
        <w:spacing w:before="400"/>
        <w:jc w:val="center"/>
      </w:pPr>
      <w:r>
        <w:rPr>
          <w:rFonts w:ascii="Calibri" w:cs="Calibri" w:eastAsia="Calibri" w:hAnsi="Calibri"/>
          <w:i/>
          <w:iCs/>
          <w:color w:val="1B4F72"/>
          <w:sz w:val="20"/>
          <w:szCs w:val="20"/>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B4F72"/>
        <w:sz w:val="18"/>
        <w:szCs w:val="18"/>
      </w:rPr>
      <w:t xml:space="preserve">Confidential - Apprend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CompliPilot System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2026-08-08T18:45:45.932Z</dcterms:created>
  <dcterms:modified xsi:type="dcterms:W3CDTF">2026-08-08T18:45:45.932Z</dcterms:modified>
</cp:coreProperties>
</file>

<file path=docProps/custom.xml><?xml version="1.0" encoding="utf-8"?>
<Properties xmlns="http://schemas.openxmlformats.org/officeDocument/2006/custom-properties" xmlns:vt="http://schemas.openxmlformats.org/officeDocument/2006/docPropsVTypes"/>
</file>