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1F4E5F"/>
          <w:sz w:val="52"/>
          <w:szCs w:val="52"/>
        </w:rPr>
        <w:t xml:space="preserve">ANALYST SECTION</w:t>
      </w:r>
    </w:p>
    <w:p>
      <w:pPr>
        <w:spacing w:before="80"/>
        <w:jc w:val="center"/>
      </w:pPr>
      <w:r>
        <w:rPr>
          <w:b/>
          <w:bCs/>
          <w:color w:val="1F4E5F"/>
          <w:sz w:val="40"/>
          <w:szCs w:val="40"/>
        </w:rPr>
        <w:t xml:space="preserve">UX &amp; Interaction Design Specification</w:t>
      </w:r>
    </w:p>
    <w:p>
      <w:pPr>
        <w:spacing w:after="100" w:before="220"/>
        <w:jc w:val="center"/>
      </w:pPr>
      <w:r>
        <w:rPr>
          <w:color w:val="5A6570"/>
          <w:sz w:val="26"/>
          <w:szCs w:val="26"/>
        </w:rPr>
        <w:t xml:space="preserve">A self-explanatory analysis experience — no manual required</w:t>
      </w:r>
    </w:p>
    <w:p>
      <w:pPr>
        <w:pBdr>
          <w:top w:val="single" w:color="2F6FED" w:sz="12" w:space="8"/>
        </w:pBdr>
        <w:spacing w:before="500"/>
        <w:jc w:val="center"/>
      </w:pPr>
      <w:r>
        <w:t xml:space="preserve"/>
      </w:r>
    </w:p>
    <w:p>
      <w:pPr>
        <w:spacing w:before="500"/>
        <w:jc w:val="center"/>
      </w:pPr>
      <w:r>
        <w:rPr>
          <w:sz w:val="22"/>
          <w:szCs w:val="22"/>
        </w:rPr>
        <w:t xml:space="preserve">Prepared for: Development Team</w:t>
      </w:r>
    </w:p>
    <w:p>
      <w:pPr>
        <w:spacing w:before="100"/>
        <w:jc w:val="center"/>
      </w:pPr>
      <w:r>
        <w:rPr>
          <w:sz w:val="22"/>
          <w:szCs w:val="22"/>
        </w:rPr>
        <w:t xml:space="preserve">Covers: Open Positions &amp; Watchlist Analysis cards, plain-language reasoning layout, trade stress test, in-product guidance</w:t>
      </w:r>
    </w:p>
    <w:p>
      <w:pPr>
        <w:spacing w:before="100"/>
        <w:jc w:val="center"/>
      </w:pPr>
      <w:r>
        <w:rPr>
          <w:color w:val="5A6570"/>
          <w:sz w:val="22"/>
          <w:szCs w:val="22"/>
        </w:rPr>
        <w:t xml:space="preserve">Document version: 1.1</w:t>
      </w:r>
    </w:p>
    <w:p>
      <w:pPr>
        <w:spacing w:before="1400"/>
        <w:jc w:val="center"/>
      </w:pPr>
      <w:r>
        <w:rPr>
          <w:i/>
          <w:iCs/>
          <w:color w:val="5A6570"/>
          <w:sz w:val="18"/>
          <w:szCs w:val="18"/>
        </w:rPr>
        <w:t xml:space="preserve">This document is a UX/implementation specification. It does not constitute investment advice.</w:t>
      </w:r>
    </w:p>
    <w:p>
      <w:pPr>
        <w:sectPr>
          <w:pgSz w:w="12240" w:h="15840" w:orient="portrait"/>
          <w:pgMar w:top="1440" w:right="1440" w:bottom="1440" w:left="1440" w:header="708" w:footer="708" w:gutter="0"/>
          <w:pgNumType/>
          <w:docGrid w:linePitch="360"/>
        </w:sectPr>
      </w:pPr>
    </w:p>
    <w:p>
      <w:pPr>
        <w:pStyle w:val="Heading1"/>
        <w:pBdr>
          <w:bottom w:val="single" w:color="1F4E5F" w:sz="6" w:space="4"/>
        </w:pBdr>
        <w:spacing w:after="200" w:before="420"/>
      </w:pPr>
      <w:r>
        <w:rPr>
          <w:b/>
          <w:bCs/>
          <w:color w:val="1F4E5F"/>
        </w:rPr>
        <w:t xml:space="preserve">1. Goal</w:t>
      </w:r>
    </w:p>
    <w:p>
      <w:pPr>
        <w:spacing w:after="150" w:line="276"/>
      </w:pPr>
      <w:r>
        <w:t xml:space="preserve">Redesign the Analyst section (Open Positions and Watchlist Analysis) so that someone can open the bot for the first time and understand what it's telling them and how it works purely by using it — without reading a manual, a specification document, or a glossary of trading terms.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shd w:fill="EAF1FD" w:color="auto" w:val="clear"/>
            <w:tcMar>
              <w:top w:type="dxa" w:w="160"/>
              <w:left w:type="dxa" w:w="200"/>
              <w:bottom w:type="dxa" w:w="160"/>
              <w:right w:type="dxa" w:w="200"/>
            </w:tcMar>
          </w:tcPr>
          <w:p>
            <w:pPr>
              <w:spacing w:after="60"/>
            </w:pPr>
            <w:r>
              <w:rPr>
                <w:b/>
                <w:bCs/>
                <w:color w:val="2F6FED"/>
                <w:sz w:val="20"/>
                <w:szCs w:val="20"/>
              </w:rPr>
              <w:t xml:space="preserve">Design mandate</w:t>
            </w:r>
          </w:p>
          <w:p>
            <w:pPr>
              <w:spacing w:after="0" w:line="264"/>
            </w:pPr>
            <w:r>
              <w:rPr>
                <w:color w:val="1A1A1A"/>
                <w:sz w:val="20"/>
                <w:szCs w:val="20"/>
              </w:rPr>
              <w:t xml:space="preserve">If a first-time user needs outside documentation to understand what a card is telling them or why the bot is set up the way it is, the design has not succeeded. The interface itself is the documentation.</w:t>
            </w:r>
          </w:p>
        </w:tc>
      </w:tr>
    </w:tbl>
    <w:p>
      <w:pPr>
        <w:spacing w:after="100"/>
      </w:pPr>
    </w:p>
    <w:p>
      <w:pPr>
        <w:spacing w:after="150" w:line="276"/>
      </w:pPr>
      <w:r>
        <w:t xml:space="preserve">This rules out two easy failure modes: (1) dumping raw technical output (RSI, MACD, R-multiples) on the screen and assuming the user will look it up elsewhere, and (2) hiding the reasoning behind a single verdict badge (“BUY” / “HOLD”) that the user takes on faith. Both require outside knowledge — the first to decode the jargon, the second to trust a judgment they can't see the reasoning behind.</w:t>
      </w:r>
    </w:p>
    <w:p>
      <w:pPr>
        <w:pStyle w:val="Heading1"/>
        <w:pBdr>
          <w:bottom w:val="single" w:color="1F4E5F" w:sz="6" w:space="4"/>
        </w:pBdr>
        <w:spacing w:after="200" w:before="420"/>
      </w:pPr>
      <w:r>
        <w:rPr>
          <w:b/>
          <w:bCs/>
          <w:color w:val="1F4E5F"/>
        </w:rPr>
        <w:t xml:space="preserve">2. Product Principle: Enable Judgment, Don't Automate It</w:t>
      </w:r>
    </w:p>
    <w:p>
      <w:pPr>
        <w:spacing w:after="150" w:line="276"/>
      </w:pPr>
      <w:r>
        <w:t xml:space="preserve">The bot's job is to compress weeks of technical and fundamental research into a form a person with limited trading experience can read and act on — but the person still makes the call. The interface should walk through the same reasoning steps an experienced analyst would, in the same order, in plain language, so the user arrives at their own conclusion instead of receiving one.</w:t>
      </w:r>
    </w:p>
    <w:p>
      <w:pPr>
        <w:pStyle w:val="ListParagraph"/>
        <w:numPr>
          <w:ilvl w:val="0"/>
          <w:numId w:val="2"/>
        </w:numPr>
        <w:spacing w:after="80" w:line="264"/>
      </w:pPr>
      <w:r>
        <w:rPr>
          <w:b/>
          <w:bCs/>
        </w:rPr>
        <w:t xml:space="preserve">Consequence for layout: </w:t>
      </w:r>
      <w:r>
        <w:t xml:space="preserve">reasoning comes first, raw data comes second. Trend → momentum → volume → structure, each explained in a sentence a beginner can read unassisted, with the technical stat underneath as supporting evidence rather than the headline.</w:t>
      </w:r>
    </w:p>
    <w:p>
      <w:pPr>
        <w:pStyle w:val="ListParagraph"/>
        <w:numPr>
          <w:ilvl w:val="0"/>
          <w:numId w:val="2"/>
        </w:numPr>
        <w:spacing w:after="80" w:line="264"/>
      </w:pPr>
      <w:r>
        <w:rPr>
          <w:b/>
          <w:bCs/>
        </w:rPr>
        <w:t xml:space="preserve">Consequence for language: </w:t>
      </w:r>
      <w:r>
        <w:t xml:space="preserve">no verdict badges (BUY / SELL / HOLD). A verdict is a shortcut around understanding — the opposite of the goal. State what is happening and what would change it; let the person decide.</w:t>
      </w:r>
    </w:p>
    <w:p>
      <w:pPr>
        <w:pStyle w:val="ListParagraph"/>
        <w:numPr>
          <w:ilvl w:val="0"/>
          <w:numId w:val="2"/>
        </w:numPr>
        <w:spacing w:after="80" w:line="264"/>
      </w:pPr>
      <w:r>
        <w:rPr>
          <w:b/>
          <w:bCs/>
        </w:rPr>
        <w:t xml:space="preserve">Consequence for trust: </w:t>
      </w:r>
      <w:r>
        <w:t xml:space="preserve">every number and label on screen should be explainable by hovering, tapping, or reading the line directly next to it — never by needing to know a term in advance.</w:t>
      </w:r>
    </w:p>
    <w:p>
      <w:pPr>
        <w:pStyle w:val="Heading1"/>
        <w:pBdr>
          <w:bottom w:val="single" w:color="1F4E5F" w:sz="6" w:space="4"/>
        </w:pBdr>
        <w:spacing w:after="200" w:before="420"/>
      </w:pPr>
      <w:r>
        <w:rPr>
          <w:b/>
          <w:bCs/>
          <w:color w:val="1F4E5F"/>
        </w:rPr>
        <w:t xml:space="preserve">3. Current State: What Makes It Hard to Navigate Today</w:t>
      </w:r>
    </w:p>
    <w:p>
      <w:pPr>
        <w:spacing w:after="150" w:line="276"/>
      </w:pPr>
      <w:r>
        <w:t xml:space="preserve">Reviewed from the current Analyst screen (Open Positions / Watchlist Analysis):</w:t>
      </w:r>
    </w:p>
    <w:p>
      <w:pPr>
        <w:pStyle w:val="ListParagraph"/>
        <w:numPr>
          <w:ilvl w:val="0"/>
          <w:numId w:val="2"/>
        </w:numPr>
        <w:spacing w:after="80" w:line="264"/>
      </w:pPr>
      <w:r>
        <w:rPr>
          <w:b/>
          <w:bCs/>
        </w:rPr>
        <w:t xml:space="preserve">No hierarchy between verdict and evidence. </w:t>
      </w:r>
      <w:r>
        <w:t xml:space="preserve">Confidence %, category badges, P&amp;L, stop/target, support/resistance, and indicator text (RSI, MACD) all render at the same size and weight, so nothing tells the eye where to start.</w:t>
      </w:r>
    </w:p>
    <w:p>
      <w:pPr>
        <w:pStyle w:val="ListParagraph"/>
        <w:numPr>
          <w:ilvl w:val="0"/>
          <w:numId w:val="2"/>
        </w:numPr>
        <w:spacing w:after="80" w:line="264"/>
      </w:pPr>
      <w:r>
        <w:rPr>
          <w:b/>
          <w:bCs/>
        </w:rPr>
        <w:t xml:space="preserve">Jargon leads instead of trails. </w:t>
      </w:r>
      <w:r>
        <w:t xml:space="preserve">“RSI at 63, in the momentum zone and rising” is the first thing a beginner reads — it requires already knowing what RSI is before the sentence means anything.</w:t>
      </w:r>
    </w:p>
    <w:p>
      <w:pPr>
        <w:pStyle w:val="ListParagraph"/>
        <w:numPr>
          <w:ilvl w:val="0"/>
          <w:numId w:val="2"/>
        </w:numPr>
        <w:spacing w:after="80" w:line="264"/>
      </w:pPr>
      <w:r>
        <w:rPr>
          <w:b/>
          <w:bCs/>
        </w:rPr>
        <w:t xml:space="preserve">Badge overload. </w:t>
      </w:r>
      <w:r>
        <w:t xml:space="preserve">TEMPLATE, BULLISH 42%, momentum·B, REJECTED, and a numeric readiness score all appear on one card with no explanation of what any of them mean or how they were derived.</w:t>
      </w:r>
    </w:p>
    <w:p>
      <w:pPr>
        <w:pStyle w:val="ListParagraph"/>
        <w:numPr>
          <w:ilvl w:val="0"/>
          <w:numId w:val="2"/>
        </w:numPr>
        <w:spacing w:after="80" w:line="264"/>
      </w:pPr>
      <w:r>
        <w:rPr>
          <w:b/>
          <w:bCs/>
        </w:rPr>
        <w:t xml:space="preserve">Opaque rejections. </w:t>
      </w:r>
      <w:r>
        <w:t xml:space="preserve">“position size rounded to zero shares” is accurate but unexplained — a new user cannot tell whether that's a bug, a limitation, or expected behavior.</w:t>
      </w:r>
    </w:p>
    <w:p>
      <w:pPr>
        <w:pStyle w:val="ListParagraph"/>
        <w:numPr>
          <w:ilvl w:val="0"/>
          <w:numId w:val="2"/>
        </w:numPr>
        <w:spacing w:after="80" w:line="264"/>
      </w:pPr>
      <w:r>
        <w:rPr>
          <w:b/>
          <w:bCs/>
        </w:rPr>
        <w:t xml:space="preserve">Silent degradation. </w:t>
      </w:r>
      <w:r>
        <w:t xml:space="preserve">when the live AI commentary fails (see the OpenRouter 401 error in the current build), the page falls back to template commentary with only a small banner at the very top of the page — easy to miss, and nothing on the affected cards themselves marks them as non-live.</w:t>
      </w:r>
    </w:p>
    <w:p>
      <w:pPr>
        <w:pStyle w:val="ListParagraph"/>
        <w:numPr>
          <w:ilvl w:val="0"/>
          <w:numId w:val="2"/>
        </w:numPr>
        <w:spacing w:after="80" w:line="264"/>
      </w:pPr>
      <w:r>
        <w:rPr>
          <w:b/>
          <w:bCs/>
        </w:rPr>
        <w:t xml:space="preserve">No path to “why.” </w:t>
      </w:r>
      <w:r>
        <w:t xml:space="preserve">there is no way, from the card itself, to learn what a term means or how a number was calculated — the only options are to already know, or to go ask someone / read documentation elsewhere. This is the core problem this spec addresses.</w:t>
      </w:r>
    </w:p>
    <w:p>
      <w:pPr>
        <w:pStyle w:val="Heading1"/>
        <w:pBdr>
          <w:bottom w:val="single" w:color="1F4E5F" w:sz="6" w:space="4"/>
        </w:pBdr>
        <w:spacing w:after="200" w:before="420"/>
      </w:pPr>
      <w:r>
        <w:rPr>
          <w:b/>
          <w:bCs/>
          <w:color w:val="1F4E5F"/>
        </w:rPr>
        <w:t xml:space="preserve">4. Card Structure (Open Positions &amp; Watchlist)</w:t>
      </w:r>
    </w:p>
    <w:p>
      <w:pPr>
        <w:spacing w:after="150" w:line="276"/>
      </w:pPr>
      <w:r>
        <w:t xml:space="preserve">Both card types follow the same structure so the user only has to learn the pattern once. Sections render top to bottom in this fixed order: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5600"/>
      </w:tblGrid>
      <w:tr>
        <w:tc>
          <w:tcPr>
            <w:tcW w:type="dxa" w:w="700"/>
            <w:shd w:fill="1F4E5F" w:color="auto" w:val="clear"/>
            <w:tcMar>
              <w:top w:type="dxa" w:w="80"/>
              <w:left w:type="dxa" w:w="100"/>
              <w:bottom w:type="dxa" w:w="80"/>
              <w:right w:type="dxa" w:w="100"/>
            </w:tcMar>
            <w:vAlign w:val="center"/>
          </w:tcPr>
          <w:p>
            <w:pPr>
              <w:jc w:val="left"/>
            </w:pPr>
            <w:r>
              <w:rPr>
                <w:b/>
                <w:bCs/>
                <w:color w:val="FFFFFF"/>
                <w:sz w:val="20"/>
                <w:szCs w:val="20"/>
              </w:rPr>
              <w:t xml:space="preserve">#</w:t>
            </w:r>
          </w:p>
        </w:tc>
        <w:tc>
          <w:tcPr>
            <w:tcW w:type="dxa" w:w="2900"/>
            <w:shd w:fill="1F4E5F" w:color="auto" w:val="clear"/>
            <w:tcMar>
              <w:top w:type="dxa" w:w="80"/>
              <w:left w:type="dxa" w:w="100"/>
              <w:bottom w:type="dxa" w:w="80"/>
              <w:right w:type="dxa" w:w="100"/>
            </w:tcMar>
            <w:vAlign w:val="center"/>
          </w:tcPr>
          <w:p>
            <w:pPr>
              <w:jc w:val="left"/>
            </w:pPr>
            <w:r>
              <w:rPr>
                <w:b/>
                <w:bCs/>
                <w:color w:val="FFFFFF"/>
                <w:sz w:val="20"/>
                <w:szCs w:val="20"/>
              </w:rPr>
              <w:t xml:space="preserve">Section</w:t>
            </w:r>
          </w:p>
        </w:tc>
        <w:tc>
          <w:tcPr>
            <w:tcW w:type="dxa" w:w="5600"/>
            <w:shd w:fill="1F4E5F" w:color="auto" w:val="clear"/>
            <w:tcMar>
              <w:top w:type="dxa" w:w="80"/>
              <w:left w:type="dxa" w:w="100"/>
              <w:bottom w:type="dxa" w:w="80"/>
              <w:right w:type="dxa" w:w="100"/>
            </w:tcMar>
            <w:vAlign w:val="center"/>
          </w:tcPr>
          <w:p>
            <w:pPr>
              <w:jc w:val="left"/>
            </w:pPr>
            <w:r>
              <w:rPr>
                <w:b/>
                <w:bCs/>
                <w:color w:val="FFFFFF"/>
                <w:sz w:val="20"/>
                <w:szCs w:val="20"/>
              </w:rPr>
              <w:t xml:space="preserve">Purpose</w:t>
            </w:r>
          </w:p>
        </w:tc>
      </w:tr>
      <w:tr>
        <w:tc>
          <w:tcPr>
            <w:tcW w:type="dxa" w:w="700"/>
            <w:tcMar>
              <w:top w:type="dxa" w:w="80"/>
              <w:left w:type="dxa" w:w="100"/>
              <w:bottom w:type="dxa" w:w="80"/>
              <w:right w:type="dxa" w:w="100"/>
            </w:tcMar>
            <w:vAlign w:val="center"/>
          </w:tcPr>
          <w:p>
            <w:pPr>
              <w:jc w:val="left"/>
            </w:pPr>
            <w:r>
              <w:rPr>
                <w:b w:val="false"/>
                <w:bCs w:val="false"/>
                <w:color w:val="1A1A1A"/>
                <w:sz w:val="20"/>
                <w:szCs w:val="20"/>
              </w:rPr>
              <w:t xml:space="preserve">1</w:t>
            </w:r>
          </w:p>
        </w:tc>
        <w:tc>
          <w:tcPr>
            <w:tcW w:type="dxa" w:w="2900"/>
            <w:tcMar>
              <w:top w:type="dxa" w:w="80"/>
              <w:left w:type="dxa" w:w="100"/>
              <w:bottom w:type="dxa" w:w="80"/>
              <w:right w:type="dxa" w:w="100"/>
            </w:tcMar>
            <w:vAlign w:val="center"/>
          </w:tcPr>
          <w:p>
            <w:pPr>
              <w:jc w:val="left"/>
            </w:pPr>
            <w:r>
              <w:rPr>
                <w:b w:val="false"/>
                <w:bCs w:val="false"/>
                <w:color w:val="1A1A1A"/>
                <w:sz w:val="20"/>
                <w:szCs w:val="20"/>
              </w:rPr>
              <w:t xml:space="preserve">Identity strip</w:t>
            </w:r>
          </w:p>
        </w:tc>
        <w:tc>
          <w:tcPr>
            <w:tcW w:type="dxa" w:w="5600"/>
            <w:tcMar>
              <w:top w:type="dxa" w:w="80"/>
              <w:left w:type="dxa" w:w="100"/>
              <w:bottom w:type="dxa" w:w="80"/>
              <w:right w:type="dxa" w:w="100"/>
            </w:tcMar>
            <w:vAlign w:val="center"/>
          </w:tcPr>
          <w:p>
            <w:pPr>
              <w:jc w:val="left"/>
            </w:pPr>
            <w:r>
              <w:rPr>
                <w:b w:val="false"/>
                <w:bCs w:val="false"/>
                <w:color w:val="1A1A1A"/>
                <w:sz w:val="20"/>
                <w:szCs w:val="20"/>
              </w:rPr>
              <w:t xml:space="preserve">Ticker, price, change, and a short plain-language tag (e.g. “Momentum position”, “Watchlist”) — no jargon, no score.</w:t>
            </w:r>
          </w:p>
        </w:tc>
      </w:tr>
      <w:tr>
        <w:tc>
          <w:tcPr>
            <w:tcW w:type="dxa" w:w="700"/>
            <w:shd w:fill="EDF2F4" w:color="auto" w:val="clear"/>
            <w:tcMar>
              <w:top w:type="dxa" w:w="80"/>
              <w:left w:type="dxa" w:w="100"/>
              <w:bottom w:type="dxa" w:w="80"/>
              <w:right w:type="dxa" w:w="100"/>
            </w:tcMar>
            <w:vAlign w:val="center"/>
          </w:tcPr>
          <w:p>
            <w:pPr>
              <w:jc w:val="left"/>
            </w:pPr>
            <w:r>
              <w:rPr>
                <w:b w:val="false"/>
                <w:bCs w:val="false"/>
                <w:color w:val="1A1A1A"/>
                <w:sz w:val="20"/>
                <w:szCs w:val="20"/>
              </w:rPr>
              <w:t xml:space="preserve">2</w:t>
            </w:r>
          </w:p>
        </w:tc>
        <w:tc>
          <w:tcPr>
            <w:tcW w:type="dxa" w:w="2900"/>
            <w:shd w:fill="EDF2F4" w:color="auto" w:val="clear"/>
            <w:tcMar>
              <w:top w:type="dxa" w:w="80"/>
              <w:left w:type="dxa" w:w="100"/>
              <w:bottom w:type="dxa" w:w="80"/>
              <w:right w:type="dxa" w:w="100"/>
            </w:tcMar>
            <w:vAlign w:val="center"/>
          </w:tcPr>
          <w:p>
            <w:pPr>
              <w:jc w:val="left"/>
            </w:pPr>
            <w:r>
              <w:rPr>
                <w:b w:val="false"/>
                <w:bCs w:val="false"/>
                <w:color w:val="1A1A1A"/>
                <w:sz w:val="20"/>
                <w:szCs w:val="20"/>
              </w:rPr>
              <w:t xml:space="preserve">One-line summary</w:t>
            </w:r>
          </w:p>
        </w:tc>
        <w:tc>
          <w:tcPr>
            <w:tcW w:type="dxa" w:w="5600"/>
            <w:shd w:fill="EDF2F4" w:color="auto" w:val="clear"/>
            <w:tcMar>
              <w:top w:type="dxa" w:w="80"/>
              <w:left w:type="dxa" w:w="100"/>
              <w:bottom w:type="dxa" w:w="80"/>
              <w:right w:type="dxa" w:w="100"/>
            </w:tcMar>
            <w:vAlign w:val="center"/>
          </w:tcPr>
          <w:p>
            <w:pPr>
              <w:jc w:val="left"/>
            </w:pPr>
            <w:r>
              <w:rPr>
                <w:b w:val="false"/>
                <w:bCs w:val="false"/>
                <w:color w:val="1A1A1A"/>
                <w:sz w:val="20"/>
                <w:szCs w:val="20"/>
              </w:rPr>
              <w:t xml:space="preserve">Plain-English sentence stating what's happening and whether anything currently needs attention. Written so it stands alone — a user who reads only this line still gets the gist.</w:t>
            </w:r>
          </w:p>
        </w:tc>
      </w:tr>
      <w:tr>
        <w:tc>
          <w:tcPr>
            <w:tcW w:type="dxa" w:w="700"/>
            <w:tcMar>
              <w:top w:type="dxa" w:w="80"/>
              <w:left w:type="dxa" w:w="100"/>
              <w:bottom w:type="dxa" w:w="80"/>
              <w:right w:type="dxa" w:w="100"/>
            </w:tcMar>
            <w:vAlign w:val="center"/>
          </w:tcPr>
          <w:p>
            <w:pPr>
              <w:jc w:val="left"/>
            </w:pPr>
            <w:r>
              <w:rPr>
                <w:b w:val="false"/>
                <w:bCs w:val="false"/>
                <w:color w:val="1A1A1A"/>
                <w:sz w:val="20"/>
                <w:szCs w:val="20"/>
              </w:rPr>
              <w:t xml:space="preserve">3</w:t>
            </w:r>
          </w:p>
        </w:tc>
        <w:tc>
          <w:tcPr>
            <w:tcW w:type="dxa" w:w="2900"/>
            <w:tcMar>
              <w:top w:type="dxa" w:w="80"/>
              <w:left w:type="dxa" w:w="100"/>
              <w:bottom w:type="dxa" w:w="80"/>
              <w:right w:type="dxa" w:w="100"/>
            </w:tcMar>
            <w:vAlign w:val="center"/>
          </w:tcPr>
          <w:p>
            <w:pPr>
              <w:jc w:val="left"/>
            </w:pPr>
            <w:r>
              <w:rPr>
                <w:b w:val="false"/>
                <w:bCs w:val="false"/>
                <w:color w:val="1A1A1A"/>
                <w:sz w:val="20"/>
                <w:szCs w:val="20"/>
              </w:rPr>
              <w:t xml:space="preserve">Conditions met</w:t>
            </w:r>
          </w:p>
        </w:tc>
        <w:tc>
          <w:tcPr>
            <w:tcW w:type="dxa" w:w="5600"/>
            <w:tcMar>
              <w:top w:type="dxa" w:w="80"/>
              <w:left w:type="dxa" w:w="100"/>
              <w:bottom w:type="dxa" w:w="80"/>
              <w:right w:type="dxa" w:w="100"/>
            </w:tcMar>
            <w:vAlign w:val="center"/>
          </w:tcPr>
          <w:p>
            <w:pPr>
              <w:jc w:val="left"/>
            </w:pPr>
            <w:r>
              <w:rPr>
                <w:b w:val="false"/>
                <w:bCs w:val="false"/>
                <w:color w:val="1A1A1A"/>
                <w:sz w:val="20"/>
                <w:szCs w:val="20"/>
              </w:rPr>
              <w:t xml:space="preserve">A small segmented bar (e.g. “3 of 5”) showing how many of the strategy's own screening conditions are currently true. Replaces any numeric “confidence %”, which implies unaudited math.</w:t>
            </w:r>
          </w:p>
        </w:tc>
      </w:tr>
      <w:tr>
        <w:tc>
          <w:tcPr>
            <w:tcW w:type="dxa" w:w="700"/>
            <w:shd w:fill="EDF2F4" w:color="auto" w:val="clear"/>
            <w:tcMar>
              <w:top w:type="dxa" w:w="80"/>
              <w:left w:type="dxa" w:w="100"/>
              <w:bottom w:type="dxa" w:w="80"/>
              <w:right w:type="dxa" w:w="100"/>
            </w:tcMar>
            <w:vAlign w:val="center"/>
          </w:tcPr>
          <w:p>
            <w:pPr>
              <w:jc w:val="left"/>
            </w:pPr>
            <w:r>
              <w:rPr>
                <w:b w:val="false"/>
                <w:bCs w:val="false"/>
                <w:color w:val="1A1A1A"/>
                <w:sz w:val="20"/>
                <w:szCs w:val="20"/>
              </w:rPr>
              <w:t xml:space="preserve">4</w:t>
            </w:r>
          </w:p>
        </w:tc>
        <w:tc>
          <w:tcPr>
            <w:tcW w:type="dxa" w:w="2900"/>
            <w:shd w:fill="EDF2F4" w:color="auto" w:val="clear"/>
            <w:tcMar>
              <w:top w:type="dxa" w:w="80"/>
              <w:left w:type="dxa" w:w="100"/>
              <w:bottom w:type="dxa" w:w="80"/>
              <w:right w:type="dxa" w:w="100"/>
            </w:tcMar>
            <w:vAlign w:val="center"/>
          </w:tcPr>
          <w:p>
            <w:pPr>
              <w:jc w:val="left"/>
            </w:pPr>
            <w:r>
              <w:rPr>
                <w:b w:val="false"/>
                <w:bCs w:val="false"/>
                <w:color w:val="1A1A1A"/>
                <w:sz w:val="20"/>
                <w:szCs w:val="20"/>
              </w:rPr>
              <w:t xml:space="preserve">Reasoning walkthrough</w:t>
            </w:r>
          </w:p>
        </w:tc>
        <w:tc>
          <w:tcPr>
            <w:tcW w:type="dxa" w:w="5600"/>
            <w:shd w:fill="EDF2F4" w:color="auto" w:val="clear"/>
            <w:tcMar>
              <w:top w:type="dxa" w:w="80"/>
              <w:left w:type="dxa" w:w="100"/>
              <w:bottom w:type="dxa" w:w="80"/>
              <w:right w:type="dxa" w:w="100"/>
            </w:tcMar>
            <w:vAlign w:val="center"/>
          </w:tcPr>
          <w:p>
            <w:pPr>
              <w:jc w:val="left"/>
            </w:pPr>
            <w:r>
              <w:rPr>
                <w:b w:val="false"/>
                <w:bCs w:val="false"/>
                <w:color w:val="1A1A1A"/>
                <w:sz w:val="20"/>
                <w:szCs w:val="20"/>
              </w:rPr>
              <w:t xml:space="preserve">Trend, momentum, volume, and structure, each as a plain-language line with the supporting technical stat directly underneath in muted text. This is the section that teaches, not just informs.</w:t>
            </w:r>
          </w:p>
        </w:tc>
      </w:tr>
      <w:tr>
        <w:tc>
          <w:tcPr>
            <w:tcW w:type="dxa" w:w="700"/>
            <w:tcMar>
              <w:top w:type="dxa" w:w="80"/>
              <w:left w:type="dxa" w:w="100"/>
              <w:bottom w:type="dxa" w:w="80"/>
              <w:right w:type="dxa" w:w="100"/>
            </w:tcMar>
            <w:vAlign w:val="center"/>
          </w:tcPr>
          <w:p>
            <w:pPr>
              <w:jc w:val="left"/>
            </w:pPr>
            <w:r>
              <w:rPr>
                <w:b w:val="false"/>
                <w:bCs w:val="false"/>
                <w:color w:val="1A1A1A"/>
                <w:sz w:val="20"/>
                <w:szCs w:val="20"/>
              </w:rPr>
              <w:t xml:space="preserve">5</w:t>
            </w:r>
          </w:p>
        </w:tc>
        <w:tc>
          <w:tcPr>
            <w:tcW w:type="dxa" w:w="2900"/>
            <w:tcMar>
              <w:top w:type="dxa" w:w="80"/>
              <w:left w:type="dxa" w:w="100"/>
              <w:bottom w:type="dxa" w:w="80"/>
              <w:right w:type="dxa" w:w="100"/>
            </w:tcMar>
            <w:vAlign w:val="center"/>
          </w:tcPr>
          <w:p>
            <w:pPr>
              <w:jc w:val="left"/>
            </w:pPr>
            <w:r>
              <w:rPr>
                <w:b w:val="false"/>
                <w:bCs w:val="false"/>
                <w:color w:val="1A1A1A"/>
                <w:sz w:val="20"/>
                <w:szCs w:val="20"/>
              </w:rPr>
              <w:t xml:space="preserve">What would change this</w:t>
            </w:r>
          </w:p>
        </w:tc>
        <w:tc>
          <w:tcPr>
            <w:tcW w:type="dxa" w:w="5600"/>
            <w:tcMar>
              <w:top w:type="dxa" w:w="80"/>
              <w:left w:type="dxa" w:w="100"/>
              <w:bottom w:type="dxa" w:w="80"/>
              <w:right w:type="dxa" w:w="100"/>
            </w:tcMar>
            <w:vAlign w:val="center"/>
          </w:tcPr>
          <w:p>
            <w:pPr>
              <w:jc w:val="left"/>
            </w:pPr>
            <w:r>
              <w:rPr>
                <w:b w:val="false"/>
                <w:bCs w:val="false"/>
                <w:color w:val="1A1A1A"/>
                <w:sz w:val="20"/>
                <w:szCs w:val="20"/>
              </w:rPr>
              <w:t xml:space="preserve">The specific price levels or conditions that would flip the picture — phrased the way an analyst would flag it, e.g. “A close below $300.80 breaks the support that's held 5 times.”</w:t>
            </w:r>
          </w:p>
        </w:tc>
      </w:tr>
      <w:tr>
        <w:tc>
          <w:tcPr>
            <w:tcW w:type="dxa" w:w="700"/>
            <w:shd w:fill="EDF2F4" w:color="auto" w:val="clear"/>
            <w:tcMar>
              <w:top w:type="dxa" w:w="80"/>
              <w:left w:type="dxa" w:w="100"/>
              <w:bottom w:type="dxa" w:w="80"/>
              <w:right w:type="dxa" w:w="100"/>
            </w:tcMar>
            <w:vAlign w:val="center"/>
          </w:tcPr>
          <w:p>
            <w:pPr>
              <w:jc w:val="left"/>
            </w:pPr>
            <w:r>
              <w:rPr>
                <w:b w:val="false"/>
                <w:bCs w:val="false"/>
                <w:color w:val="1A1A1A"/>
                <w:sz w:val="20"/>
                <w:szCs w:val="20"/>
              </w:rPr>
              <w:t xml:space="preserve">6</w:t>
            </w:r>
          </w:p>
        </w:tc>
        <w:tc>
          <w:tcPr>
            <w:tcW w:type="dxa" w:w="2900"/>
            <w:shd w:fill="EDF2F4" w:color="auto" w:val="clear"/>
            <w:tcMar>
              <w:top w:type="dxa" w:w="80"/>
              <w:left w:type="dxa" w:w="100"/>
              <w:bottom w:type="dxa" w:w="80"/>
              <w:right w:type="dxa" w:w="100"/>
            </w:tcMar>
            <w:vAlign w:val="center"/>
          </w:tcPr>
          <w:p>
            <w:pPr>
              <w:jc w:val="left"/>
            </w:pPr>
            <w:r>
              <w:rPr>
                <w:b w:val="false"/>
                <w:bCs w:val="false"/>
                <w:color w:val="1A1A1A"/>
                <w:sz w:val="20"/>
                <w:szCs w:val="20"/>
              </w:rPr>
              <w:t xml:space="preserve">Stress test</w:t>
            </w:r>
          </w:p>
        </w:tc>
        <w:tc>
          <w:tcPr>
            <w:tcW w:type="dxa" w:w="5600"/>
            <w:shd w:fill="EDF2F4" w:color="auto" w:val="clear"/>
            <w:tcMar>
              <w:top w:type="dxa" w:w="80"/>
              <w:left w:type="dxa" w:w="100"/>
              <w:bottom w:type="dxa" w:w="80"/>
              <w:right w:type="dxa" w:w="100"/>
            </w:tcMar>
            <w:vAlign w:val="center"/>
          </w:tcPr>
          <w:p>
            <w:pPr>
              <w:jc w:val="left"/>
            </w:pPr>
            <w:r>
              <w:rPr>
                <w:b w:val="false"/>
                <w:bCs w:val="false"/>
                <w:color w:val="1A1A1A"/>
                <w:sz w:val="20"/>
                <w:szCs w:val="20"/>
              </w:rPr>
              <w:t xml:space="preserve">What the P&amp;L would look like if price moved to each key level — stop, support, flat, resistance, target — shown as if the trade were live, with the arithmetic visible. See Section 5.</w:t>
            </w:r>
          </w:p>
        </w:tc>
      </w:tr>
      <w:tr>
        <w:tc>
          <w:tcPr>
            <w:tcW w:type="dxa" w:w="700"/>
            <w:tcMar>
              <w:top w:type="dxa" w:w="80"/>
              <w:left w:type="dxa" w:w="100"/>
              <w:bottom w:type="dxa" w:w="80"/>
              <w:right w:type="dxa" w:w="100"/>
            </w:tcMar>
            <w:vAlign w:val="center"/>
          </w:tcPr>
          <w:p>
            <w:pPr>
              <w:jc w:val="left"/>
            </w:pPr>
            <w:r>
              <w:rPr>
                <w:b w:val="false"/>
                <w:bCs w:val="false"/>
                <w:color w:val="1A1A1A"/>
                <w:sz w:val="20"/>
                <w:szCs w:val="20"/>
              </w:rPr>
              <w:t xml:space="preserve">7</w:t>
            </w:r>
          </w:p>
        </w:tc>
        <w:tc>
          <w:tcPr>
            <w:tcW w:type="dxa" w:w="2900"/>
            <w:tcMar>
              <w:top w:type="dxa" w:w="80"/>
              <w:left w:type="dxa" w:w="100"/>
              <w:bottom w:type="dxa" w:w="80"/>
              <w:right w:type="dxa" w:w="100"/>
            </w:tcMar>
            <w:vAlign w:val="center"/>
          </w:tcPr>
          <w:p>
            <w:pPr>
              <w:jc w:val="left"/>
            </w:pPr>
            <w:r>
              <w:rPr>
                <w:b w:val="false"/>
                <w:bCs w:val="false"/>
                <w:color w:val="1A1A1A"/>
                <w:sz w:val="20"/>
                <w:szCs w:val="20"/>
              </w:rPr>
              <w:t xml:space="preserve">Position / order detail (collapsed)</w:t>
            </w:r>
          </w:p>
        </w:tc>
        <w:tc>
          <w:tcPr>
            <w:tcW w:type="dxa" w:w="5600"/>
            <w:tcMar>
              <w:top w:type="dxa" w:w="80"/>
              <w:left w:type="dxa" w:w="100"/>
              <w:bottom w:type="dxa" w:w="80"/>
              <w:right w:type="dxa" w:w="100"/>
            </w:tcMar>
            <w:vAlign w:val="center"/>
          </w:tcPr>
          <w:p>
            <w:pPr>
              <w:jc w:val="left"/>
            </w:pPr>
            <w:r>
              <w:rPr>
                <w:b w:val="false"/>
                <w:bCs w:val="false"/>
                <w:color w:val="1A1A1A"/>
                <w:sz w:val="20"/>
                <w:szCs w:val="20"/>
              </w:rPr>
              <w:t xml:space="preserve">Raw numbers — stop, target, P&amp;L, R-multiple, order status — tucked behind a single “Show details” disclosure. Available on demand, never competing for attention by default.</w:t>
            </w:r>
          </w:p>
        </w:tc>
      </w:tr>
    </w:tbl>
    <w:p>
      <w:pPr>
        <w:spacing w:after="160"/>
      </w:pPr>
    </w:p>
    <w:p>
      <w:pPr>
        <w:spacing w:after="150" w:line="276"/>
      </w:pPr>
      <w:r>
        <w:t xml:space="preserve">Reference wireframe (structure only, not final visual design):</w:t>
      </w:r>
    </w:p>
    <w:p>
      <w:pPr>
        <w:pBdr>
          <w:top w:val="single" w:color="CCCCCC" w:sz="4"/>
          <w:bottom w:val="single" w:color="CCCCCC" w:sz="4"/>
          <w:left w:val="single" w:color="CCCCCC" w:sz="4"/>
          <w:right w:val="single" w:color="CCCCCC" w:sz="4"/>
        </w:pBdr>
        <w:shd w:fill="F5F5F0" w:color="auto" w:val="clear"/>
        <w:spacing w:after="200"/>
      </w:pPr>
      <w:r>
        <w:rPr>
          <w:rFonts w:ascii="Consolas" w:cs="Consolas" w:eastAsia="Consolas" w:hAnsi="Consolas"/>
          <w:sz w:val="17"/>
          <w:szCs w:val="17"/>
        </w:rPr>
        <w:t xml:space="preserve">+--------------------------------------------------+</w:t>
      </w:r>
      <w:r>
        <w:rPr>
          <w:rFonts w:ascii="Consolas" w:cs="Consolas" w:eastAsia="Consolas" w:hAnsi="Consolas"/>
          <w:sz w:val="17"/>
          <w:szCs w:val="17"/>
        </w:rPr>
        <w:br/>
        <w:t xml:space="preserve">| AAPL   $314.40  +0.06%      Momentum position     |  1. Identity</w:t>
      </w:r>
      <w:r>
        <w:rPr>
          <w:rFonts w:ascii="Consolas" w:cs="Consolas" w:eastAsia="Consolas" w:hAnsi="Consolas"/>
          <w:sz w:val="17"/>
          <w:szCs w:val="17"/>
        </w:rPr>
        <w:br/>
        <w:t xml:space="preserve">+--------------------------------------------------+</w:t>
      </w:r>
      <w:r>
        <w:rPr>
          <w:rFonts w:ascii="Consolas" w:cs="Consolas" w:eastAsia="Consolas" w:hAnsi="Consolas"/>
          <w:sz w:val="17"/>
          <w:szCs w:val="17"/>
        </w:rPr>
        <w:br/>
        <w:t xml:space="preserve">| "Price is still above the level that triggered    |  2. Summary</w:t>
      </w:r>
      <w:r>
        <w:rPr>
          <w:rFonts w:ascii="Consolas" w:cs="Consolas" w:eastAsia="Consolas" w:hAnsi="Consolas"/>
          <w:sz w:val="17"/>
          <w:szCs w:val="17"/>
        </w:rPr>
        <w:br/>
        <w:t xml:space="preserve">|  this trade, and the trend hasn't broken down."    |</w:t>
      </w:r>
      <w:r>
        <w:rPr>
          <w:rFonts w:ascii="Consolas" w:cs="Consolas" w:eastAsia="Consolas" w:hAnsi="Consolas"/>
          <w:sz w:val="17"/>
          <w:szCs w:val="17"/>
        </w:rPr>
        <w:br/>
        <w:t xml:space="preserve">+--------------------------------------------------+</w:t>
      </w:r>
      <w:r>
        <w:rPr>
          <w:rFonts w:ascii="Consolas" w:cs="Consolas" w:eastAsia="Consolas" w:hAnsi="Consolas"/>
          <w:sz w:val="17"/>
          <w:szCs w:val="17"/>
        </w:rPr>
        <w:br/>
        <w:t xml:space="preserve">| Conditions met:  [==][==][==][  ][  ]   3 of 5     |  3. Conditions</w:t>
      </w:r>
      <w:r>
        <w:rPr>
          <w:rFonts w:ascii="Consolas" w:cs="Consolas" w:eastAsia="Consolas" w:hAnsi="Consolas"/>
          <w:sz w:val="17"/>
          <w:szCs w:val="17"/>
        </w:rPr>
        <w:br/>
        <w:t xml:space="preserve">+--------------------------------------------------+</w:t>
      </w:r>
      <w:r>
        <w:rPr>
          <w:rFonts w:ascii="Consolas" w:cs="Consolas" w:eastAsia="Consolas" w:hAnsi="Consolas"/>
          <w:sz w:val="17"/>
          <w:szCs w:val="17"/>
        </w:rPr>
        <w:br/>
        <w:t xml:space="preserve">| &gt; Trend: still pointing up                         |</w:t>
      </w:r>
      <w:r>
        <w:rPr>
          <w:rFonts w:ascii="Consolas" w:cs="Consolas" w:eastAsia="Consolas" w:hAnsi="Consolas"/>
          <w:sz w:val="17"/>
          <w:szCs w:val="17"/>
        </w:rPr>
        <w:br/>
        <w:t xml:space="preserve">|   Price is above its 20-day average ($299.13)      |  4. Reasoning</w:t>
      </w:r>
      <w:r>
        <w:rPr>
          <w:rFonts w:ascii="Consolas" w:cs="Consolas" w:eastAsia="Consolas" w:hAnsi="Consolas"/>
          <w:sz w:val="17"/>
          <w:szCs w:val="17"/>
        </w:rPr>
        <w:br/>
        <w:t xml:space="preserve">| &gt; Momentum: building, not stretched                |     walkthrough</w:t>
      </w:r>
      <w:r>
        <w:rPr>
          <w:rFonts w:ascii="Consolas" w:cs="Consolas" w:eastAsia="Consolas" w:hAnsi="Consolas"/>
          <w:sz w:val="17"/>
          <w:szCs w:val="17"/>
        </w:rPr>
        <w:br/>
        <w:t xml:space="preserve">|   RSI at 63 and rising; 70+ is usually "stretched"  |</w:t>
      </w:r>
      <w:r>
        <w:rPr>
          <w:rFonts w:ascii="Consolas" w:cs="Consolas" w:eastAsia="Consolas" w:hAnsi="Consolas"/>
          <w:sz w:val="17"/>
          <w:szCs w:val="17"/>
        </w:rPr>
        <w:br/>
        <w:t xml:space="preserve">| &gt; Volume: quiet, not confirming strongly            |</w:t>
      </w:r>
      <w:r>
        <w:rPr>
          <w:rFonts w:ascii="Consolas" w:cs="Consolas" w:eastAsia="Consolas" w:hAnsi="Consolas"/>
          <w:sz w:val="17"/>
          <w:szCs w:val="17"/>
        </w:rPr>
        <w:br/>
        <w:t xml:space="preserve">|   0.3x its 20-day average volume                    |</w:t>
      </w:r>
      <w:r>
        <w:rPr>
          <w:rFonts w:ascii="Consolas" w:cs="Consolas" w:eastAsia="Consolas" w:hAnsi="Consolas"/>
          <w:sz w:val="17"/>
          <w:szCs w:val="17"/>
        </w:rPr>
        <w:br/>
        <w:t xml:space="preserve">| &gt; Structure: above support, below resistance         |</w:t>
      </w:r>
      <w:r>
        <w:rPr>
          <w:rFonts w:ascii="Consolas" w:cs="Consolas" w:eastAsia="Consolas" w:hAnsi="Consolas"/>
          <w:sz w:val="17"/>
          <w:szCs w:val="17"/>
        </w:rPr>
        <w:br/>
        <w:t xml:space="preserve">|   Support $263.22 (5 touches); resistance $317.17    |</w:t>
      </w:r>
      <w:r>
        <w:rPr>
          <w:rFonts w:ascii="Consolas" w:cs="Consolas" w:eastAsia="Consolas" w:hAnsi="Consolas"/>
          <w:sz w:val="17"/>
          <w:szCs w:val="17"/>
        </w:rPr>
        <w:br/>
        <w:t xml:space="preserve">+--------------------------------------------------+</w:t>
      </w:r>
      <w:r>
        <w:rPr>
          <w:rFonts w:ascii="Consolas" w:cs="Consolas" w:eastAsia="Consolas" w:hAnsi="Consolas"/>
          <w:sz w:val="17"/>
          <w:szCs w:val="17"/>
        </w:rPr>
        <w:br/>
        <w:t xml:space="preserve">| WHAT WOULD CHANGE THIS                              |  5. What would</w:t>
      </w:r>
      <w:r>
        <w:rPr>
          <w:rFonts w:ascii="Consolas" w:cs="Consolas" w:eastAsia="Consolas" w:hAnsi="Consolas"/>
          <w:sz w:val="17"/>
          <w:szCs w:val="17"/>
        </w:rPr>
        <w:br/>
        <w:t xml:space="preserve">|  - Close below $300.80 breaks 5-touch support        |     change this</w:t>
      </w:r>
      <w:r>
        <w:rPr>
          <w:rFonts w:ascii="Consolas" w:cs="Consolas" w:eastAsia="Consolas" w:hAnsi="Consolas"/>
          <w:sz w:val="17"/>
          <w:szCs w:val="17"/>
        </w:rPr>
        <w:br/>
        <w:t xml:space="preserve">|  - RSI above 80 on fading volume = exhaustion signal  |</w:t>
      </w:r>
      <w:r>
        <w:rPr>
          <w:rFonts w:ascii="Consolas" w:cs="Consolas" w:eastAsia="Consolas" w:hAnsi="Consolas"/>
          <w:sz w:val="17"/>
          <w:szCs w:val="17"/>
        </w:rPr>
        <w:br/>
        <w:t xml:space="preserve">+--------------------------------------------------+</w:t>
      </w:r>
      <w:r>
        <w:rPr>
          <w:rFonts w:ascii="Consolas" w:cs="Consolas" w:eastAsia="Consolas" w:hAnsi="Consolas"/>
          <w:sz w:val="17"/>
          <w:szCs w:val="17"/>
        </w:rPr>
        <w:br/>
        <w:t xml:space="preserve">| STRESS TEST  -  if this were happening right now     |  6. Stress test</w:t>
      </w:r>
      <w:r>
        <w:rPr>
          <w:rFonts w:ascii="Consolas" w:cs="Consolas" w:eastAsia="Consolas" w:hAnsi="Consolas"/>
          <w:sz w:val="17"/>
          <w:szCs w:val="17"/>
        </w:rPr>
        <w:br/>
        <w:t xml:space="preserve">|                                                        |</w:t>
      </w:r>
      <w:r>
        <w:rPr>
          <w:rFonts w:ascii="Consolas" w:cs="Consolas" w:eastAsia="Consolas" w:hAnsi="Consolas"/>
          <w:sz w:val="17"/>
          <w:szCs w:val="17"/>
        </w:rPr>
        <w:br/>
        <w:t xml:space="preserve">|  Stop      Support    Now      Resistance   Target    |</w:t>
      </w:r>
      <w:r>
        <w:rPr>
          <w:rFonts w:ascii="Consolas" w:cs="Consolas" w:eastAsia="Consolas" w:hAnsi="Consolas"/>
          <w:sz w:val="17"/>
          <w:szCs w:val="17"/>
        </w:rPr>
        <w:br/>
        <w:t xml:space="preserve">|  $300.80   $263.22   $314.40    $317.17    $337.87    |</w:t>
      </w:r>
      <w:r>
        <w:rPr>
          <w:rFonts w:ascii="Consolas" w:cs="Consolas" w:eastAsia="Consolas" w:hAnsi="Consolas"/>
          <w:sz w:val="17"/>
          <w:szCs w:val="17"/>
        </w:rPr>
        <w:br/>
        <w:t xml:space="preserve">|    |  ----   |    ------ * ------   |   ------  |     |</w:t>
      </w:r>
      <w:r>
        <w:rPr>
          <w:rFonts w:ascii="Consolas" w:cs="Consolas" w:eastAsia="Consolas" w:hAnsi="Consolas"/>
          <w:sz w:val="17"/>
          <w:szCs w:val="17"/>
        </w:rPr>
        <w:br/>
        <w:t xml:space="preserve">|  -$419      -$1,318    -       +$277      +$2,347     |</w:t>
      </w:r>
      <w:r>
        <w:rPr>
          <w:rFonts w:ascii="Consolas" w:cs="Consolas" w:eastAsia="Consolas" w:hAnsi="Consolas"/>
          <w:sz w:val="17"/>
          <w:szCs w:val="17"/>
        </w:rPr>
        <w:br/>
        <w:t xml:space="preserve">|  -1.4R      -4.4R      -        +0.9R      +7.9R       |</w:t>
      </w:r>
      <w:r>
        <w:rPr>
          <w:rFonts w:ascii="Consolas" w:cs="Consolas" w:eastAsia="Consolas" w:hAnsi="Consolas"/>
          <w:sz w:val="17"/>
          <w:szCs w:val="17"/>
        </w:rPr>
        <w:br/>
        <w:t xml:space="preserve">|                                                        |</w:t>
      </w:r>
      <w:r>
        <w:rPr>
          <w:rFonts w:ascii="Consolas" w:cs="Consolas" w:eastAsia="Consolas" w:hAnsi="Consolas"/>
          <w:sz w:val="17"/>
          <w:szCs w:val="17"/>
        </w:rPr>
        <w:br/>
        <w:t xml:space="preserve">|  &gt; Show the working for any scenario                   |</w:t>
      </w:r>
      <w:r>
        <w:rPr>
          <w:rFonts w:ascii="Consolas" w:cs="Consolas" w:eastAsia="Consolas" w:hAnsi="Consolas"/>
          <w:sz w:val="17"/>
          <w:szCs w:val="17"/>
        </w:rPr>
        <w:br/>
        <w:t xml:space="preserve">|  &gt; Try your own price:  [___________]                  |</w:t>
      </w:r>
      <w:r>
        <w:rPr>
          <w:rFonts w:ascii="Consolas" w:cs="Consolas" w:eastAsia="Consolas" w:hAnsi="Consolas"/>
          <w:sz w:val="17"/>
          <w:szCs w:val="17"/>
        </w:rPr>
        <w:br/>
        <w:t xml:space="preserve">+--------------------------------------------------+</w:t>
      </w:r>
      <w:r>
        <w:rPr>
          <w:rFonts w:ascii="Consolas" w:cs="Consolas" w:eastAsia="Consolas" w:hAnsi="Consolas"/>
          <w:sz w:val="17"/>
          <w:szCs w:val="17"/>
        </w:rPr>
        <w:br/>
        <w:t xml:space="preserve">| &gt; Show position details                              |  7. Collapsed</w:t>
      </w:r>
      <w:r>
        <w:rPr>
          <w:rFonts w:ascii="Consolas" w:cs="Consolas" w:eastAsia="Consolas" w:hAnsi="Consolas"/>
          <w:sz w:val="17"/>
          <w:szCs w:val="17"/>
        </w:rPr>
        <w:br/>
        <w:t xml:space="preserve">|   (stop, target, P&amp;L, R-multiple)                    |     detail</w:t>
      </w:r>
      <w:r>
        <w:rPr>
          <w:rFonts w:ascii="Consolas" w:cs="Consolas" w:eastAsia="Consolas" w:hAnsi="Consolas"/>
          <w:sz w:val="17"/>
          <w:szCs w:val="17"/>
        </w:rPr>
        <w:br/>
        <w:t xml:space="preserve">+--------------------------------------------------+</w:t>
      </w:r>
    </w:p>
    <w:p>
      <w:pPr>
        <w:pStyle w:val="Heading1"/>
        <w:pBdr>
          <w:bottom w:val="single" w:color="1F4E5F" w:sz="6" w:space="4"/>
        </w:pBdr>
        <w:spacing w:after="200" w:before="420"/>
      </w:pPr>
      <w:r>
        <w:rPr>
          <w:b/>
          <w:bCs/>
          <w:color w:val="1F4E5F"/>
        </w:rPr>
        <w:t xml:space="preserve">5. Trade Stress Test (Scenario P&amp;L Visualization)</w:t>
      </w:r>
    </w:p>
    <w:p>
      <w:pPr>
        <w:spacing w:after="150" w:line="276"/>
      </w:pPr>
      <w:r>
        <w:t xml:space="preserve">Every open position and watchlist card should include a stress test: a view of what the trade's P&amp;L would look like if price moved to each key level, shown as if the trade were live right now — not as a probability forecast, and not as a recommendation. The goal is the same as the rest of the card: let the user see the mechanics clearly enough to reason about risk themselves, rather than trusting a single number.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shd w:fill="FBEFDE" w:color="auto" w:val="clear"/>
            <w:tcMar>
              <w:top w:type="dxa" w:w="160"/>
              <w:left w:type="dxa" w:w="200"/>
              <w:bottom w:type="dxa" w:w="160"/>
              <w:right w:type="dxa" w:w="200"/>
            </w:tcMar>
          </w:tcPr>
          <w:p>
            <w:pPr>
              <w:spacing w:after="60"/>
            </w:pPr>
            <w:r>
              <w:rPr>
                <w:b/>
                <w:bCs/>
                <w:color w:val="B5650A"/>
                <w:sz w:val="20"/>
                <w:szCs w:val="20"/>
              </w:rPr>
              <w:t xml:space="preserve">Important distinction</w:t>
            </w:r>
          </w:p>
          <w:p>
            <w:pPr>
              <w:spacing w:after="0" w:line="264"/>
            </w:pPr>
            <w:r>
              <w:rPr>
                <w:color w:val="1A1A1A"/>
                <w:sz w:val="20"/>
                <w:szCs w:val="20"/>
              </w:rPr>
              <w:t xml:space="preserve">This is a what-if calculator, not a prediction. It never states or implies how likely a scenario is — only what the outcome would be, in dollars and in risk terms, if it happened. Framing it as a forecast would contradict the “enable judgment, don't automate it” principle in Section 2.</w:t>
            </w:r>
          </w:p>
        </w:tc>
      </w:tr>
    </w:tbl>
    <w:p>
      <w:pPr>
        <w:spacing w:after="160"/>
      </w:pPr>
    </w:p>
    <w:p>
      <w:pPr>
        <w:pStyle w:val="Heading2"/>
        <w:spacing w:after="120" w:before="300"/>
      </w:pPr>
      <w:r>
        <w:rPr>
          <w:b/>
          <w:bCs/>
          <w:color w:val="2F6FED"/>
        </w:rPr>
        <w:t xml:space="preserve">5.1 Default scenarios</w:t>
      </w:r>
    </w:p>
    <w:p>
      <w:pPr>
        <w:spacing w:after="150" w:line="276"/>
      </w:pPr>
      <w:r>
        <w:t xml:space="preserve">Rather than arbitrary percentage moves, default scenarios use the price levels already surfaced elsewhere on the card, so the stress test reinforces the reasoning walkthrough instead of introducing new numbers the user hasn't seen yet.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800"/>
      </w:tblGrid>
      <w:tr>
        <w:tc>
          <w:tcPr>
            <w:tcW w:type="dxa" w:w="2600"/>
            <w:shd w:fill="1F4E5F" w:color="auto" w:val="clear"/>
            <w:tcMar>
              <w:top w:type="dxa" w:w="80"/>
              <w:left w:type="dxa" w:w="100"/>
              <w:bottom w:type="dxa" w:w="80"/>
              <w:right w:type="dxa" w:w="100"/>
            </w:tcMar>
            <w:vAlign w:val="center"/>
          </w:tcPr>
          <w:p>
            <w:pPr>
              <w:jc w:val="left"/>
            </w:pPr>
            <w:r>
              <w:rPr>
                <w:b/>
                <w:bCs/>
                <w:color w:val="FFFFFF"/>
                <w:sz w:val="20"/>
                <w:szCs w:val="20"/>
              </w:rPr>
              <w:t xml:space="preserve">Scenario</w:t>
            </w:r>
          </w:p>
        </w:tc>
        <w:tc>
          <w:tcPr>
            <w:tcW w:type="dxa" w:w="1800"/>
            <w:shd w:fill="1F4E5F" w:color="auto" w:val="clear"/>
            <w:tcMar>
              <w:top w:type="dxa" w:w="80"/>
              <w:left w:type="dxa" w:w="100"/>
              <w:bottom w:type="dxa" w:w="80"/>
              <w:right w:type="dxa" w:w="100"/>
            </w:tcMar>
            <w:vAlign w:val="center"/>
          </w:tcPr>
          <w:p>
            <w:pPr>
              <w:jc w:val="left"/>
            </w:pPr>
            <w:r>
              <w:rPr>
                <w:b/>
                <w:bCs/>
                <w:color w:val="FFFFFF"/>
                <w:sz w:val="20"/>
                <w:szCs w:val="20"/>
              </w:rPr>
              <w:t xml:space="preserve">Trigger price</w:t>
            </w:r>
          </w:p>
        </w:tc>
        <w:tc>
          <w:tcPr>
            <w:tcW w:type="dxa" w:w="4800"/>
            <w:shd w:fill="1F4E5F" w:color="auto" w:val="clear"/>
            <w:tcMar>
              <w:top w:type="dxa" w:w="80"/>
              <w:left w:type="dxa" w:w="100"/>
              <w:bottom w:type="dxa" w:w="80"/>
              <w:right w:type="dxa" w:w="100"/>
            </w:tcMar>
            <w:vAlign w:val="center"/>
          </w:tcPr>
          <w:p>
            <w:pPr>
              <w:jc w:val="left"/>
            </w:pPr>
            <w:r>
              <w:rPr>
                <w:b/>
                <w:bCs/>
                <w:color w:val="FFFFFF"/>
                <w:sz w:val="20"/>
                <w:szCs w:val="20"/>
              </w:rPr>
              <w:t xml:space="preserve">Where it comes from</w:t>
            </w:r>
          </w:p>
        </w:tc>
      </w:tr>
      <w:tr>
        <w:tc>
          <w:tcPr>
            <w:tcW w:type="dxa" w:w="2600"/>
            <w:tcMar>
              <w:top w:type="dxa" w:w="80"/>
              <w:left w:type="dxa" w:w="100"/>
              <w:bottom w:type="dxa" w:w="80"/>
              <w:right w:type="dxa" w:w="100"/>
            </w:tcMar>
            <w:vAlign w:val="center"/>
          </w:tcPr>
          <w:p>
            <w:pPr>
              <w:jc w:val="left"/>
            </w:pPr>
            <w:r>
              <w:rPr>
                <w:b w:val="false"/>
                <w:bCs w:val="false"/>
                <w:color w:val="1A1A1A"/>
                <w:sz w:val="20"/>
                <w:szCs w:val="20"/>
              </w:rPr>
              <w:t xml:space="preserve">Hits stop-loss</w:t>
            </w:r>
          </w:p>
        </w:tc>
        <w:tc>
          <w:tcPr>
            <w:tcW w:type="dxa" w:w="1800"/>
            <w:tcMar>
              <w:top w:type="dxa" w:w="80"/>
              <w:left w:type="dxa" w:w="100"/>
              <w:bottom w:type="dxa" w:w="80"/>
              <w:right w:type="dxa" w:w="100"/>
            </w:tcMar>
            <w:vAlign w:val="center"/>
          </w:tcPr>
          <w:p>
            <w:pPr>
              <w:jc w:val="left"/>
            </w:pPr>
            <w:r>
              <w:rPr>
                <w:b w:val="false"/>
                <w:bCs w:val="false"/>
                <w:color w:val="1A1A1A"/>
                <w:sz w:val="20"/>
                <w:szCs w:val="20"/>
              </w:rPr>
              <w:t xml:space="preserve">Stop price</w:t>
            </w:r>
          </w:p>
        </w:tc>
        <w:tc>
          <w:tcPr>
            <w:tcW w:type="dxa" w:w="4800"/>
            <w:tcMar>
              <w:top w:type="dxa" w:w="80"/>
              <w:left w:type="dxa" w:w="100"/>
              <w:bottom w:type="dxa" w:w="80"/>
              <w:right w:type="dxa" w:w="100"/>
            </w:tcMar>
            <w:vAlign w:val="center"/>
          </w:tcPr>
          <w:p>
            <w:pPr>
              <w:jc w:val="left"/>
            </w:pPr>
            <w:r>
              <w:rPr>
                <w:b w:val="false"/>
                <w:bCs w:val="false"/>
                <w:color w:val="1A1A1A"/>
                <w:sz w:val="20"/>
                <w:szCs w:val="20"/>
              </w:rPr>
              <w:t xml:space="preserve">Same stop shown in the reasoning / position detail section.</w:t>
            </w:r>
          </w:p>
        </w:tc>
      </w:tr>
      <w:tr>
        <w:tc>
          <w:tcPr>
            <w:tcW w:type="dxa" w:w="2600"/>
            <w:shd w:fill="EDF2F4" w:color="auto" w:val="clear"/>
            <w:tcMar>
              <w:top w:type="dxa" w:w="80"/>
              <w:left w:type="dxa" w:w="100"/>
              <w:bottom w:type="dxa" w:w="80"/>
              <w:right w:type="dxa" w:w="100"/>
            </w:tcMar>
            <w:vAlign w:val="center"/>
          </w:tcPr>
          <w:p>
            <w:pPr>
              <w:jc w:val="left"/>
            </w:pPr>
            <w:r>
              <w:rPr>
                <w:b w:val="false"/>
                <w:bCs w:val="false"/>
                <w:color w:val="1A1A1A"/>
                <w:sz w:val="20"/>
                <w:szCs w:val="20"/>
              </w:rPr>
              <w:t xml:space="preserve">Drops to support</w:t>
            </w:r>
          </w:p>
        </w:tc>
        <w:tc>
          <w:tcPr>
            <w:tcW w:type="dxa" w:w="1800"/>
            <w:shd w:fill="EDF2F4" w:color="auto" w:val="clear"/>
            <w:tcMar>
              <w:top w:type="dxa" w:w="80"/>
              <w:left w:type="dxa" w:w="100"/>
              <w:bottom w:type="dxa" w:w="80"/>
              <w:right w:type="dxa" w:w="100"/>
            </w:tcMar>
            <w:vAlign w:val="center"/>
          </w:tcPr>
          <w:p>
            <w:pPr>
              <w:jc w:val="left"/>
            </w:pPr>
            <w:r>
              <w:rPr>
                <w:b w:val="false"/>
                <w:bCs w:val="false"/>
                <w:color w:val="1A1A1A"/>
                <w:sz w:val="20"/>
                <w:szCs w:val="20"/>
              </w:rPr>
              <w:t xml:space="preserve">Nearest support level</w:t>
            </w:r>
          </w:p>
        </w:tc>
        <w:tc>
          <w:tcPr>
            <w:tcW w:type="dxa" w:w="4800"/>
            <w:shd w:fill="EDF2F4" w:color="auto" w:val="clear"/>
            <w:tcMar>
              <w:top w:type="dxa" w:w="80"/>
              <w:left w:type="dxa" w:w="100"/>
              <w:bottom w:type="dxa" w:w="80"/>
              <w:right w:type="dxa" w:w="100"/>
            </w:tcMar>
            <w:vAlign w:val="center"/>
          </w:tcPr>
          <w:p>
            <w:pPr>
              <w:jc w:val="left"/>
            </w:pPr>
            <w:r>
              <w:rPr>
                <w:b w:val="false"/>
                <w:bCs w:val="false"/>
                <w:color w:val="1A1A1A"/>
                <w:sz w:val="20"/>
                <w:szCs w:val="20"/>
              </w:rPr>
              <w:t xml:space="preserve">Same support level cited in the structure line of the reasoning walkthrough.</w:t>
            </w:r>
          </w:p>
        </w:tc>
      </w:tr>
      <w:tr>
        <w:tc>
          <w:tcPr>
            <w:tcW w:type="dxa" w:w="2600"/>
            <w:tcMar>
              <w:top w:type="dxa" w:w="80"/>
              <w:left w:type="dxa" w:w="100"/>
              <w:bottom w:type="dxa" w:w="80"/>
              <w:right w:type="dxa" w:w="100"/>
            </w:tcMar>
            <w:vAlign w:val="center"/>
          </w:tcPr>
          <w:p>
            <w:pPr>
              <w:jc w:val="left"/>
            </w:pPr>
            <w:r>
              <w:rPr>
                <w:b w:val="false"/>
                <w:bCs w:val="false"/>
                <w:color w:val="1A1A1A"/>
                <w:sz w:val="20"/>
                <w:szCs w:val="20"/>
              </w:rPr>
              <w:t xml:space="preserve">No change</w:t>
            </w:r>
          </w:p>
        </w:tc>
        <w:tc>
          <w:tcPr>
            <w:tcW w:type="dxa" w:w="1800"/>
            <w:tcMar>
              <w:top w:type="dxa" w:w="80"/>
              <w:left w:type="dxa" w:w="100"/>
              <w:bottom w:type="dxa" w:w="80"/>
              <w:right w:type="dxa" w:w="100"/>
            </w:tcMar>
            <w:vAlign w:val="center"/>
          </w:tcPr>
          <w:p>
            <w:pPr>
              <w:jc w:val="left"/>
            </w:pPr>
            <w:r>
              <w:rPr>
                <w:b w:val="false"/>
                <w:bCs w:val="false"/>
                <w:color w:val="1A1A1A"/>
                <w:sz w:val="20"/>
                <w:szCs w:val="20"/>
              </w:rPr>
              <w:t xml:space="preserve">Current price</w:t>
            </w:r>
          </w:p>
        </w:tc>
        <w:tc>
          <w:tcPr>
            <w:tcW w:type="dxa" w:w="4800"/>
            <w:tcMar>
              <w:top w:type="dxa" w:w="80"/>
              <w:left w:type="dxa" w:w="100"/>
              <w:bottom w:type="dxa" w:w="80"/>
              <w:right w:type="dxa" w:w="100"/>
            </w:tcMar>
            <w:vAlign w:val="center"/>
          </w:tcPr>
          <w:p>
            <w:pPr>
              <w:jc w:val="left"/>
            </w:pPr>
            <w:r>
              <w:rPr>
                <w:b w:val="false"/>
                <w:bCs w:val="false"/>
                <w:color w:val="1A1A1A"/>
                <w:sz w:val="20"/>
                <w:szCs w:val="20"/>
              </w:rPr>
              <w:t xml:space="preserve">Baseline reference — always shown even though P&amp;L is zero, so the scale of the other scenarios has context.</w:t>
            </w:r>
          </w:p>
        </w:tc>
      </w:tr>
      <w:tr>
        <w:tc>
          <w:tcPr>
            <w:tcW w:type="dxa" w:w="2600"/>
            <w:shd w:fill="EDF2F4" w:color="auto" w:val="clear"/>
            <w:tcMar>
              <w:top w:type="dxa" w:w="80"/>
              <w:left w:type="dxa" w:w="100"/>
              <w:bottom w:type="dxa" w:w="80"/>
              <w:right w:type="dxa" w:w="100"/>
            </w:tcMar>
            <w:vAlign w:val="center"/>
          </w:tcPr>
          <w:p>
            <w:pPr>
              <w:jc w:val="left"/>
            </w:pPr>
            <w:r>
              <w:rPr>
                <w:b w:val="false"/>
                <w:bCs w:val="false"/>
                <w:color w:val="1A1A1A"/>
                <w:sz w:val="20"/>
                <w:szCs w:val="20"/>
              </w:rPr>
              <w:t xml:space="preserve">Rallies to resistance</w:t>
            </w:r>
          </w:p>
        </w:tc>
        <w:tc>
          <w:tcPr>
            <w:tcW w:type="dxa" w:w="1800"/>
            <w:shd w:fill="EDF2F4" w:color="auto" w:val="clear"/>
            <w:tcMar>
              <w:top w:type="dxa" w:w="80"/>
              <w:left w:type="dxa" w:w="100"/>
              <w:bottom w:type="dxa" w:w="80"/>
              <w:right w:type="dxa" w:w="100"/>
            </w:tcMar>
            <w:vAlign w:val="center"/>
          </w:tcPr>
          <w:p>
            <w:pPr>
              <w:jc w:val="left"/>
            </w:pPr>
            <w:r>
              <w:rPr>
                <w:b w:val="false"/>
                <w:bCs w:val="false"/>
                <w:color w:val="1A1A1A"/>
                <w:sz w:val="20"/>
                <w:szCs w:val="20"/>
              </w:rPr>
              <w:t xml:space="preserve">Nearest resistance level</w:t>
            </w:r>
          </w:p>
        </w:tc>
        <w:tc>
          <w:tcPr>
            <w:tcW w:type="dxa" w:w="4800"/>
            <w:shd w:fill="EDF2F4" w:color="auto" w:val="clear"/>
            <w:tcMar>
              <w:top w:type="dxa" w:w="80"/>
              <w:left w:type="dxa" w:w="100"/>
              <w:bottom w:type="dxa" w:w="80"/>
              <w:right w:type="dxa" w:w="100"/>
            </w:tcMar>
            <w:vAlign w:val="center"/>
          </w:tcPr>
          <w:p>
            <w:pPr>
              <w:jc w:val="left"/>
            </w:pPr>
            <w:r>
              <w:rPr>
                <w:b w:val="false"/>
                <w:bCs w:val="false"/>
                <w:color w:val="1A1A1A"/>
                <w:sz w:val="20"/>
                <w:szCs w:val="20"/>
              </w:rPr>
              <w:t xml:space="preserve">Same resistance level cited in the structure line of the reasoning walkthrough.</w:t>
            </w:r>
          </w:p>
        </w:tc>
      </w:tr>
      <w:tr>
        <w:tc>
          <w:tcPr>
            <w:tcW w:type="dxa" w:w="2600"/>
            <w:tcMar>
              <w:top w:type="dxa" w:w="80"/>
              <w:left w:type="dxa" w:w="100"/>
              <w:bottom w:type="dxa" w:w="80"/>
              <w:right w:type="dxa" w:w="100"/>
            </w:tcMar>
            <w:vAlign w:val="center"/>
          </w:tcPr>
          <w:p>
            <w:pPr>
              <w:jc w:val="left"/>
            </w:pPr>
            <w:r>
              <w:rPr>
                <w:b w:val="false"/>
                <w:bCs w:val="false"/>
                <w:color w:val="1A1A1A"/>
                <w:sz w:val="20"/>
                <w:szCs w:val="20"/>
              </w:rPr>
              <w:t xml:space="preserve">Hits target</w:t>
            </w:r>
          </w:p>
        </w:tc>
        <w:tc>
          <w:tcPr>
            <w:tcW w:type="dxa" w:w="1800"/>
            <w:tcMar>
              <w:top w:type="dxa" w:w="80"/>
              <w:left w:type="dxa" w:w="100"/>
              <w:bottom w:type="dxa" w:w="80"/>
              <w:right w:type="dxa" w:w="100"/>
            </w:tcMar>
            <w:vAlign w:val="center"/>
          </w:tcPr>
          <w:p>
            <w:pPr>
              <w:jc w:val="left"/>
            </w:pPr>
            <w:r>
              <w:rPr>
                <w:b w:val="false"/>
                <w:bCs w:val="false"/>
                <w:color w:val="1A1A1A"/>
                <w:sz w:val="20"/>
                <w:szCs w:val="20"/>
              </w:rPr>
              <w:t xml:space="preserve">Target price</w:t>
            </w:r>
          </w:p>
        </w:tc>
        <w:tc>
          <w:tcPr>
            <w:tcW w:type="dxa" w:w="4800"/>
            <w:tcMar>
              <w:top w:type="dxa" w:w="80"/>
              <w:left w:type="dxa" w:w="100"/>
              <w:bottom w:type="dxa" w:w="80"/>
              <w:right w:type="dxa" w:w="100"/>
            </w:tcMar>
            <w:vAlign w:val="center"/>
          </w:tcPr>
          <w:p>
            <w:pPr>
              <w:jc w:val="left"/>
            </w:pPr>
            <w:r>
              <w:rPr>
                <w:b w:val="false"/>
                <w:bCs w:val="false"/>
                <w:color w:val="1A1A1A"/>
                <w:sz w:val="20"/>
                <w:szCs w:val="20"/>
              </w:rPr>
              <w:t xml:space="preserve">Same target shown in the position detail section, where one is defined.</w:t>
            </w:r>
          </w:p>
        </w:tc>
      </w:tr>
    </w:tbl>
    <w:p>
      <w:pPr>
        <w:spacing w:after="160"/>
      </w:pPr>
    </w:p>
    <w:p>
      <w:pPr>
        <w:spacing w:after="150" w:line="276"/>
      </w:pPr>
      <w:r>
        <w:t xml:space="preserve">For short positions, the same five scenario slots apply but the direction of gain/loss flips (a drop in price is a gain, a rally is a loss) — the panel should state this plainly rather than relying on the user to infer it from color alone.</w:t>
      </w:r>
    </w:p>
    <w:p>
      <w:pPr>
        <w:pStyle w:val="Heading2"/>
        <w:spacing w:after="120" w:before="300"/>
      </w:pPr>
      <w:r>
        <w:rPr>
          <w:b/>
          <w:bCs/>
          <w:color w:val="2F6FED"/>
        </w:rPr>
        <w:t xml:space="preserve">5.2 Visualization</w:t>
      </w:r>
    </w:p>
    <w:p>
      <w:pPr>
        <w:spacing w:after="150" w:line="276"/>
      </w:pPr>
      <w:r>
        <w:t xml:space="preserve">A single horizontal price line anchored on the five scenario levels, current price marked with a distinct marker. Below each level, the resulting dollar P&amp;L and R-multiple render directly underneath — color communicates direction (gain/loss) but is never the only signal, since the number and sign are always present as well.</w:t>
      </w:r>
    </w:p>
    <w:p>
      <w:pPr>
        <w:pStyle w:val="ListParagraph"/>
        <w:numPr>
          <w:ilvl w:val="0"/>
          <w:numId w:val="2"/>
        </w:numPr>
        <w:spacing w:after="80" w:line="264"/>
      </w:pPr>
      <w:r>
        <w:t xml:space="preserve">Bar height or color intensity may be used to show relative magnitude between scenarios, but the exact dollar figure is always printed, never implied by size alone.</w:t>
      </w:r>
    </w:p>
    <w:p>
      <w:pPr>
        <w:pStyle w:val="ListParagraph"/>
        <w:numPr>
          <w:ilvl w:val="0"/>
          <w:numId w:val="2"/>
        </w:numPr>
        <w:spacing w:after="80" w:line="264"/>
      </w:pPr>
      <w:r>
        <w:t xml:space="preserve">The current-price marker should make clear this is the live reference point, not a scenario outcome — it always shows $0 / 0R by definition.</w:t>
      </w:r>
    </w:p>
    <w:p>
      <w:pPr>
        <w:pStyle w:val="Heading2"/>
        <w:spacing w:after="120" w:before="300"/>
      </w:pPr>
      <w:r>
        <w:rPr>
          <w:b/>
          <w:bCs/>
          <w:color w:val="2F6FED"/>
        </w:rPr>
        <w:t xml:space="preserve">5.3 Showing the working</w:t>
      </w:r>
    </w:p>
    <w:p>
      <w:pPr>
        <w:spacing w:after="150" w:line="276"/>
      </w:pPr>
      <w:r>
        <w:t xml:space="preserve">Every scenario's number must be traceable to a formula the user can check by hand — this is what makes the panel a teaching tool rather than another black-box output. Each scenario expands to show the calculation used:</w:t>
      </w:r>
    </w:p>
    <w:p>
      <w:pPr>
        <w:pBdr>
          <w:top w:val="single" w:color="CCCCCC" w:sz="4"/>
          <w:bottom w:val="single" w:color="CCCCCC" w:sz="4"/>
          <w:left w:val="single" w:color="CCCCCC" w:sz="4"/>
          <w:right w:val="single" w:color="CCCCCC" w:sz="4"/>
        </w:pBdr>
        <w:shd w:fill="F5F5F0" w:color="auto" w:val="clear"/>
        <w:spacing w:after="200"/>
      </w:pPr>
      <w:r>
        <w:rPr>
          <w:rFonts w:ascii="Consolas" w:cs="Consolas" w:eastAsia="Consolas" w:hAnsi="Consolas"/>
          <w:sz w:val="17"/>
          <w:szCs w:val="17"/>
        </w:rPr>
        <w:t xml:space="preserve">Scenario: Drops to support ($263.22)</w:t>
      </w:r>
      <w:r>
        <w:rPr>
          <w:rFonts w:ascii="Consolas" w:cs="Consolas" w:eastAsia="Consolas" w:hAnsi="Consolas"/>
          <w:sz w:val="17"/>
          <w:szCs w:val="17"/>
        </w:rPr>
        <w:br/>
        <w:t xml:space="preserve"/>
      </w:r>
      <w:r>
        <w:rPr>
          <w:rFonts w:ascii="Consolas" w:cs="Consolas" w:eastAsia="Consolas" w:hAnsi="Consolas"/>
          <w:sz w:val="17"/>
          <w:szCs w:val="17"/>
        </w:rPr>
        <w:br/>
        <w:t xml:space="preserve">  Shares held:              100</w:t>
      </w:r>
      <w:r>
        <w:rPr>
          <w:rFonts w:ascii="Consolas" w:cs="Consolas" w:eastAsia="Consolas" w:hAnsi="Consolas"/>
          <w:sz w:val="17"/>
          <w:szCs w:val="17"/>
        </w:rPr>
        <w:br/>
        <w:t xml:space="preserve">  Entry price:               $299.13</w:t>
      </w:r>
      <w:r>
        <w:rPr>
          <w:rFonts w:ascii="Consolas" w:cs="Consolas" w:eastAsia="Consolas" w:hAnsi="Consolas"/>
          <w:sz w:val="17"/>
          <w:szCs w:val="17"/>
        </w:rPr>
        <w:br/>
        <w:t xml:space="preserve">  Scenario price:            $263.22</w:t>
      </w:r>
      <w:r>
        <w:rPr>
          <w:rFonts w:ascii="Consolas" w:cs="Consolas" w:eastAsia="Consolas" w:hAnsi="Consolas"/>
          <w:sz w:val="17"/>
          <w:szCs w:val="17"/>
        </w:rPr>
        <w:br/>
        <w:t xml:space="preserve">  --------------------------------------</w:t>
      </w:r>
      <w:r>
        <w:rPr>
          <w:rFonts w:ascii="Consolas" w:cs="Consolas" w:eastAsia="Consolas" w:hAnsi="Consolas"/>
          <w:sz w:val="17"/>
          <w:szCs w:val="17"/>
        </w:rPr>
        <w:br/>
        <w:t xml:space="preserve">  Price change:      $263.22 - $299.13  =  -$35.91</w:t>
      </w:r>
      <w:r>
        <w:rPr>
          <w:rFonts w:ascii="Consolas" w:cs="Consolas" w:eastAsia="Consolas" w:hAnsi="Consolas"/>
          <w:sz w:val="17"/>
          <w:szCs w:val="17"/>
        </w:rPr>
        <w:br/>
        <w:t xml:space="preserve">  P&amp;L ($):            -$35.91 x 100     =  -$3,591</w:t>
      </w:r>
      <w:r>
        <w:rPr>
          <w:rFonts w:ascii="Consolas" w:cs="Consolas" w:eastAsia="Consolas" w:hAnsi="Consolas"/>
          <w:sz w:val="17"/>
          <w:szCs w:val="17"/>
        </w:rPr>
        <w:br/>
        <w:t xml:space="preserve">  P&amp;L (%):        -$3,591 / ($299.13 x 100)  =  -12.0%</w:t>
      </w:r>
      <w:r>
        <w:rPr>
          <w:rFonts w:ascii="Consolas" w:cs="Consolas" w:eastAsia="Consolas" w:hAnsi="Consolas"/>
          <w:sz w:val="17"/>
          <w:szCs w:val="17"/>
        </w:rPr>
        <w:br/>
        <w:t xml:space="preserve"/>
      </w:r>
      <w:r>
        <w:rPr>
          <w:rFonts w:ascii="Consolas" w:cs="Consolas" w:eastAsia="Consolas" w:hAnsi="Consolas"/>
          <w:sz w:val="17"/>
          <w:szCs w:val="17"/>
        </w:rPr>
        <w:br/>
        <w:t xml:space="preserve">  Initial risk (entry to stop):</w:t>
      </w:r>
      <w:r>
        <w:rPr>
          <w:rFonts w:ascii="Consolas" w:cs="Consolas" w:eastAsia="Consolas" w:hAnsi="Consolas"/>
          <w:sz w:val="17"/>
          <w:szCs w:val="17"/>
        </w:rPr>
        <w:br/>
        <w:t xml:space="preserve">    ($299.13 - $300.80) x 100 = -$167  [defined at entry]</w:t>
      </w:r>
      <w:r>
        <w:rPr>
          <w:rFonts w:ascii="Consolas" w:cs="Consolas" w:eastAsia="Consolas" w:hAnsi="Consolas"/>
          <w:sz w:val="17"/>
          <w:szCs w:val="17"/>
        </w:rPr>
        <w:br/>
        <w:t xml:space="preserve">  R-multiple:         -$3,591 / $167   =  -1.4R  (approx.)</w:t>
      </w:r>
    </w:p>
    <w:p>
      <w:pPr>
        <w:spacing w:after="150" w:line="276"/>
      </w:pPr>
      <w:r>
        <w:t xml:space="preserve">The same formula structure is reused for every scenario and every symbol — only the inputs change — so a user who studies one worked example can verify every other number on the page themselves. This should render inline (not as a separate help article) directly under the scenario the user expands.</w:t>
      </w:r>
    </w:p>
    <w:p>
      <w:pPr>
        <w:pStyle w:val="Heading2"/>
        <w:spacing w:after="120" w:before="300"/>
      </w:pPr>
      <w:r>
        <w:rPr>
          <w:b/>
          <w:bCs/>
          <w:color w:val="2F6FED"/>
        </w:rPr>
        <w:t xml:space="preserve">5.4 Custom scenario input</w:t>
      </w:r>
    </w:p>
    <w:p>
      <w:pPr>
        <w:spacing w:after="150" w:line="276"/>
      </w:pPr>
      <w:r>
        <w:t xml:space="preserve">In addition to the five defaults, allow the user to type or drag to any price and see the same P&amp;L / R-multiple / working recalculate live. This directly answers “what happens if the market moves in each direction” for any move size, not just the preset levels — letting a beginner build intuition by experimenting rather than reading a fixed table.</w:t>
      </w:r>
    </w:p>
    <w:p>
      <w:pPr>
        <w:pStyle w:val="Heading2"/>
        <w:spacing w:after="120" w:before="300"/>
      </w:pPr>
      <w:r>
        <w:rPr>
          <w:b/>
          <w:bCs/>
          <w:color w:val="2F6FED"/>
        </w:rPr>
        <w:t xml:space="preserve">5.5 Watchlist (hypothetical) trades</w:t>
      </w:r>
    </w:p>
    <w:p>
      <w:pPr>
        <w:spacing w:after="150" w:line="276"/>
      </w:pPr>
      <w:r>
        <w:t xml:space="preserve">Watchlist symbols have no live position, so the stress test runs on a hypothetical trade using the strategy's suggested entry, stop, and target — and the panel must say so explicitly (e.g. a persistent “Hypothetical — no position open” label), so it is never mistaken for a real position's P&amp;L.</w:t>
      </w:r>
    </w:p>
    <w:p>
      <w:pPr>
        <w:pStyle w:val="ListParagraph"/>
        <w:numPr>
          <w:ilvl w:val="0"/>
          <w:numId w:val="2"/>
        </w:numPr>
        <w:spacing w:after="80" w:line="264"/>
      </w:pPr>
      <w:r>
        <w:t xml:space="preserve">Position size for the hypothetical should use the same sizing rule the strategy would apply automatically (see the short-selling strategy spec's ATR-based sizing, Section 7.5), so the numbers shown match what the bot would actually do if the trade were taken — not an arbitrary round number.</w:t>
      </w:r>
    </w:p>
    <w:p>
      <w:pPr>
        <w:pStyle w:val="ListParagraph"/>
        <w:numPr>
          <w:ilvl w:val="0"/>
          <w:numId w:val="2"/>
        </w:numPr>
        <w:spacing w:after="80" w:line="264"/>
      </w:pPr>
      <w:r>
        <w:t xml:space="preserve">Where sizing rounds to zero shares (as in the LLY watchlist example in Section 4), the stress test should still show the per-share math, with a note that share count is what makes the position too small to place automatically — turning the earlier “rejected” opacity into a worked, understandable example.</w:t>
      </w:r>
    </w:p>
    <w:p>
      <w:pPr>
        <w:pStyle w:val="Heading1"/>
        <w:pBdr>
          <w:bottom w:val="single" w:color="1F4E5F" w:sz="6" w:space="4"/>
        </w:pBdr>
        <w:spacing w:after="200" w:before="420"/>
      </w:pPr>
      <w:r>
        <w:rPr>
          <w:b/>
          <w:bCs/>
          <w:color w:val="1F4E5F"/>
        </w:rPr>
        <w:t xml:space="preserve">6. In-Product Guidance (Replacing External Documentation)</w:t>
      </w:r>
    </w:p>
    <w:p>
      <w:pPr>
        <w:spacing w:after="150" w:line="276"/>
      </w:pPr>
      <w:r>
        <w:t xml:space="preserve">Since the user should not need to read a separate spec to understand the bot, the explanation has to live inside the interface itself. Concretely:</w:t>
      </w:r>
    </w:p>
    <w:p>
      <w:pPr>
        <w:pStyle w:val="Heading2"/>
        <w:spacing w:after="120" w:before="300"/>
      </w:pPr>
      <w:r>
        <w:rPr>
          <w:b/>
          <w:bCs/>
          <w:color w:val="1F4E5F"/>
        </w:rPr>
        <w:t xml:space="preserve">5.1 Every technical term is explained where it appears</w:t>
      </w:r>
    </w:p>
    <w:p>
      <w:pPr>
        <w:pStyle w:val="ListParagraph"/>
        <w:numPr>
          <w:ilvl w:val="0"/>
          <w:numId w:val="2"/>
        </w:numPr>
        <w:spacing w:after="80" w:line="264"/>
      </w:pPr>
      <w:r>
        <w:t xml:space="preserve">Terms like RSI, moving average, support/resistance, and R-multiple are never shown without a plain-language clause attached in the same sentence (see reasoning walkthrough examples in Section 4) — the user should never need to leave the card to know what a term means.</w:t>
      </w:r>
    </w:p>
    <w:p>
      <w:pPr>
        <w:pStyle w:val="ListParagraph"/>
        <w:numPr>
          <w:ilvl w:val="0"/>
          <w:numId w:val="2"/>
        </w:numPr>
        <w:spacing w:after="80" w:line="264"/>
      </w:pPr>
      <w:r>
        <w:t xml:space="preserve">Where a term recurs across many cards (e.g. RSI), an inline info icon opens a one-sentence definition on tap/hover. This is a convenience for repeat terms, not a requirement to understand any single card — the card must already make sense without clicking it.</w:t>
      </w:r>
    </w:p>
    <w:p>
      <w:pPr>
        <w:pStyle w:val="Heading2"/>
        <w:spacing w:after="120" w:before="300"/>
      </w:pPr>
      <w:r>
        <w:rPr>
          <w:b/>
          <w:bCs/>
          <w:color w:val="1F4E5F"/>
        </w:rPr>
        <w:t xml:space="preserve">5.2 First-run walkthrough, not a manual</w:t>
      </w:r>
    </w:p>
    <w:p>
      <w:pPr>
        <w:pStyle w:val="ListParagraph"/>
        <w:numPr>
          <w:ilvl w:val="0"/>
          <w:numId w:val="2"/>
        </w:numPr>
        <w:spacing w:after="80" w:line="264"/>
      </w:pPr>
      <w:r>
        <w:t xml:space="preserve">On a new user's first visit to the Analyst section, overlay a short 3–4 step guided tour pointing at one real card: identity strip → summary → conditions met → reasoning walkthrough. Dismissible, never shown again after completion or dismissal, and re-triggerable from a small “?” control.</w:t>
      </w:r>
    </w:p>
    <w:p>
      <w:pPr>
        <w:pStyle w:val="ListParagraph"/>
        <w:numPr>
          <w:ilvl w:val="0"/>
          <w:numId w:val="2"/>
        </w:numPr>
        <w:spacing w:after="80" w:line="264"/>
      </w:pPr>
      <w:r>
        <w:t xml:space="preserve">The tour explains the pattern once (“every card reads the same way”), not each individual strategy — the goal is orientation, not documentation.</w:t>
      </w:r>
    </w:p>
    <w:p>
      <w:pPr>
        <w:pStyle w:val="Heading2"/>
        <w:spacing w:after="120" w:before="300"/>
      </w:pPr>
      <w:r>
        <w:rPr>
          <w:b/>
          <w:bCs/>
          <w:color w:val="1F4E5F"/>
        </w:rPr>
        <w:t xml:space="preserve">5.3 Consistent vocabulary everywhere</w:t>
      </w:r>
    </w:p>
    <w:p>
      <w:pPr>
        <w:pStyle w:val="ListParagraph"/>
        <w:numPr>
          <w:ilvl w:val="0"/>
          <w:numId w:val="2"/>
        </w:numPr>
        <w:spacing w:after="80" w:line="264"/>
      </w:pPr>
      <w:r>
        <w:t xml:space="preserve">The same word always means the same thing across the product. If the reasoning walkthrough calls something “momentum,” the strategy name, the filter control, and any settings page must also call it “momentum” — never “RSI signal” in one place and “momentum” in another.</w:t>
      </w:r>
    </w:p>
    <w:p>
      <w:pPr>
        <w:pStyle w:val="ListParagraph"/>
        <w:numPr>
          <w:ilvl w:val="0"/>
          <w:numId w:val="2"/>
        </w:numPr>
        <w:spacing w:after="80" w:line="264"/>
      </w:pPr>
      <w:r>
        <w:t xml:space="preserve">Maintain a single shared content source (see Section 7) for every plain-language label and explanation string so wording can't drift between screens as the product grows.</w:t>
      </w:r>
    </w:p>
    <w:p>
      <w:pPr>
        <w:pStyle w:val="Heading2"/>
        <w:spacing w:after="120" w:before="300"/>
      </w:pPr>
      <w:r>
        <w:rPr>
          <w:b/>
          <w:bCs/>
          <w:color w:val="1F4E5F"/>
        </w:rPr>
        <w:t xml:space="preserve">5.4 States explain themselves</w:t>
      </w:r>
    </w:p>
    <w:p>
      <w:pPr>
        <w:pStyle w:val="ListParagraph"/>
        <w:numPr>
          <w:ilvl w:val="0"/>
          <w:numId w:val="2"/>
        </w:numPr>
        <w:spacing w:after="80" w:line="264"/>
      </w:pPr>
      <w:r>
        <w:t xml:space="preserve">A rejected or skipped signal states its reason in the same plain language as everything else (Section 4, watchlist example) — never a raw system message.</w:t>
      </w:r>
    </w:p>
    <w:p>
      <w:pPr>
        <w:pStyle w:val="ListParagraph"/>
        <w:numPr>
          <w:ilvl w:val="0"/>
          <w:numId w:val="2"/>
        </w:numPr>
        <w:spacing w:after="80" w:line="264"/>
      </w:pPr>
      <w:r>
        <w:t xml:space="preserve">A degraded/fallback state (e.g. the AI commentary provider failing) must be visually distinct on every affected card, not just a banner at the top of the page. Suggested treatment: a muted dashed border and a small “Analysis unavailable — showing general info only” label directly on the card, so a user scrolling past cannot mistake fallback text for live analysis.</w:t>
      </w:r>
    </w:p>
    <w:p>
      <w:pPr>
        <w:pStyle w:val="ListParagraph"/>
        <w:numPr>
          <w:ilvl w:val="0"/>
          <w:numId w:val="2"/>
        </w:numPr>
        <w:spacing w:after="80" w:line="264"/>
      </w:pPr>
      <w:r>
        <w:t xml:space="preserve">Empty states (e.g. no open positions yet) explain what will appear there and why, rather than showing a blank space.</w:t>
      </w:r>
    </w:p>
    <w:p>
      <w:pPr>
        <w:pStyle w:val="Heading1"/>
        <w:pBdr>
          <w:bottom w:val="single" w:color="1F4E5F" w:sz="6" w:space="4"/>
        </w:pBdr>
        <w:spacing w:after="200" w:before="420"/>
      </w:pPr>
      <w:r>
        <w:rPr>
          <w:b/>
          <w:bCs/>
          <w:color w:val="1F4E5F"/>
        </w:rPr>
        <w:t xml:space="preserve">7. Content &amp; Voice Rules</w:t>
      </w:r>
    </w:p>
    <w:p>
      <w:pPr>
        <w:spacing w:after="150" w:line="276"/>
      </w:pPr>
      <w:r>
        <w:t xml:space="preserve">Applies to every string that ships in the Analyst section, including error and empty states.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shd w:fill="1F4E5F" w:color="auto" w:val="clear"/>
            <w:tcMar>
              <w:top w:type="dxa" w:w="80"/>
              <w:left w:type="dxa" w:w="100"/>
              <w:bottom w:type="dxa" w:w="80"/>
              <w:right w:type="dxa" w:w="100"/>
            </w:tcMar>
            <w:vAlign w:val="center"/>
          </w:tcPr>
          <w:p>
            <w:pPr>
              <w:jc w:val="left"/>
            </w:pPr>
            <w:r>
              <w:rPr>
                <w:b/>
                <w:bCs/>
                <w:color w:val="FFFFFF"/>
                <w:sz w:val="20"/>
                <w:szCs w:val="20"/>
              </w:rPr>
              <w:t xml:space="preserve">Rule</w:t>
            </w:r>
          </w:p>
        </w:tc>
        <w:tc>
          <w:tcPr>
            <w:tcW w:type="dxa" w:w="6000"/>
            <w:shd w:fill="1F4E5F" w:color="auto" w:val="clear"/>
            <w:tcMar>
              <w:top w:type="dxa" w:w="80"/>
              <w:left w:type="dxa" w:w="100"/>
              <w:bottom w:type="dxa" w:w="80"/>
              <w:right w:type="dxa" w:w="100"/>
            </w:tcMar>
            <w:vAlign w:val="center"/>
          </w:tcPr>
          <w:p>
            <w:pPr>
              <w:jc w:val="left"/>
            </w:pPr>
            <w:r>
              <w:rPr>
                <w:b/>
                <w:bCs/>
                <w:color w:val="FFFFFF"/>
                <w:sz w:val="20"/>
                <w:szCs w:val="20"/>
              </w:rPr>
              <w:t xml:space="preserve">Example</w:t>
            </w:r>
          </w:p>
        </w:tc>
      </w:tr>
      <w:tr>
        <w:tc>
          <w:tcPr>
            <w:tcW w:type="dxa" w:w="3200"/>
            <w:tcMar>
              <w:top w:type="dxa" w:w="80"/>
              <w:left w:type="dxa" w:w="100"/>
              <w:bottom w:type="dxa" w:w="80"/>
              <w:right w:type="dxa" w:w="100"/>
            </w:tcMar>
            <w:vAlign w:val="center"/>
          </w:tcPr>
          <w:p>
            <w:pPr>
              <w:jc w:val="left"/>
            </w:pPr>
            <w:r>
              <w:rPr>
                <w:b w:val="false"/>
                <w:bCs w:val="false"/>
                <w:color w:val="1A1A1A"/>
                <w:sz w:val="20"/>
                <w:szCs w:val="20"/>
              </w:rPr>
              <w:t xml:space="preserve">Plain language leads; the technical term (if any) trails in the same sentence.</w:t>
            </w:r>
          </w:p>
        </w:tc>
        <w:tc>
          <w:tcPr>
            <w:tcW w:type="dxa" w:w="6000"/>
            <w:tcMar>
              <w:top w:type="dxa" w:w="80"/>
              <w:left w:type="dxa" w:w="100"/>
              <w:bottom w:type="dxa" w:w="80"/>
              <w:right w:type="dxa" w:w="100"/>
            </w:tcMar>
            <w:vAlign w:val="center"/>
          </w:tcPr>
          <w:p>
            <w:pPr>
              <w:jc w:val="left"/>
            </w:pPr>
            <w:r>
              <w:rPr>
                <w:b w:val="false"/>
                <w:bCs w:val="false"/>
                <w:color w:val="1A1A1A"/>
                <w:sz w:val="20"/>
                <w:szCs w:val="20"/>
              </w:rPr>
              <w:t xml:space="preserve">“Price is above its 20-day average” before “(a level analysts use to judge short-term direction)” — never the reverse.</w:t>
            </w:r>
          </w:p>
        </w:tc>
      </w:tr>
      <w:tr>
        <w:tc>
          <w:tcPr>
            <w:tcW w:type="dxa" w:w="3200"/>
            <w:shd w:fill="EDF2F4" w:color="auto" w:val="clear"/>
            <w:tcMar>
              <w:top w:type="dxa" w:w="80"/>
              <w:left w:type="dxa" w:w="100"/>
              <w:bottom w:type="dxa" w:w="80"/>
              <w:right w:type="dxa" w:w="100"/>
            </w:tcMar>
            <w:vAlign w:val="center"/>
          </w:tcPr>
          <w:p>
            <w:pPr>
              <w:jc w:val="left"/>
            </w:pPr>
            <w:r>
              <w:rPr>
                <w:b w:val="false"/>
                <w:bCs w:val="false"/>
                <w:color w:val="1A1A1A"/>
                <w:sz w:val="20"/>
                <w:szCs w:val="20"/>
              </w:rPr>
              <w:t xml:space="preserve">No unexplained acronyms on first use per card.</w:t>
            </w:r>
          </w:p>
        </w:tc>
        <w:tc>
          <w:tcPr>
            <w:tcW w:type="dxa" w:w="6000"/>
            <w:shd w:fill="EDF2F4" w:color="auto" w:val="clear"/>
            <w:tcMar>
              <w:top w:type="dxa" w:w="80"/>
              <w:left w:type="dxa" w:w="100"/>
              <w:bottom w:type="dxa" w:w="80"/>
              <w:right w:type="dxa" w:w="100"/>
            </w:tcMar>
            <w:vAlign w:val="center"/>
          </w:tcPr>
          <w:p>
            <w:pPr>
              <w:jc w:val="left"/>
            </w:pPr>
            <w:r>
              <w:rPr>
                <w:b w:val="false"/>
                <w:bCs w:val="false"/>
                <w:color w:val="1A1A1A"/>
                <w:sz w:val="20"/>
                <w:szCs w:val="20"/>
              </w:rPr>
              <w:t xml:space="preserve">Spell out or define RSI, MACD, EMA, ATR the first time they appear on a given card.</w:t>
            </w:r>
          </w:p>
        </w:tc>
      </w:tr>
      <w:tr>
        <w:tc>
          <w:tcPr>
            <w:tcW w:type="dxa" w:w="3200"/>
            <w:tcMar>
              <w:top w:type="dxa" w:w="80"/>
              <w:left w:type="dxa" w:w="100"/>
              <w:bottom w:type="dxa" w:w="80"/>
              <w:right w:type="dxa" w:w="100"/>
            </w:tcMar>
            <w:vAlign w:val="center"/>
          </w:tcPr>
          <w:p>
            <w:pPr>
              <w:jc w:val="left"/>
            </w:pPr>
            <w:r>
              <w:rPr>
                <w:b w:val="false"/>
                <w:bCs w:val="false"/>
                <w:color w:val="1A1A1A"/>
                <w:sz w:val="20"/>
                <w:szCs w:val="20"/>
              </w:rPr>
              <w:t xml:space="preserve">No verdict words as headlines.</w:t>
            </w:r>
          </w:p>
        </w:tc>
        <w:tc>
          <w:tcPr>
            <w:tcW w:type="dxa" w:w="6000"/>
            <w:tcMar>
              <w:top w:type="dxa" w:w="80"/>
              <w:left w:type="dxa" w:w="100"/>
              <w:bottom w:type="dxa" w:w="80"/>
              <w:right w:type="dxa" w:w="100"/>
            </w:tcMar>
            <w:vAlign w:val="center"/>
          </w:tcPr>
          <w:p>
            <w:pPr>
              <w:jc w:val="left"/>
            </w:pPr>
            <w:r>
              <w:rPr>
                <w:b w:val="false"/>
                <w:bCs w:val="false"/>
                <w:color w:val="1A1A1A"/>
                <w:sz w:val="20"/>
                <w:szCs w:val="20"/>
              </w:rPr>
              <w:t xml:space="preserve">Avoid “BUY”, “STRONG BUY”, “HOLD” as the first thing read. State the situation instead.</w:t>
            </w:r>
          </w:p>
        </w:tc>
      </w:tr>
      <w:tr>
        <w:tc>
          <w:tcPr>
            <w:tcW w:type="dxa" w:w="3200"/>
            <w:shd w:fill="EDF2F4" w:color="auto" w:val="clear"/>
            <w:tcMar>
              <w:top w:type="dxa" w:w="80"/>
              <w:left w:type="dxa" w:w="100"/>
              <w:bottom w:type="dxa" w:w="80"/>
              <w:right w:type="dxa" w:w="100"/>
            </w:tcMar>
            <w:vAlign w:val="center"/>
          </w:tcPr>
          <w:p>
            <w:pPr>
              <w:jc w:val="left"/>
            </w:pPr>
            <w:r>
              <w:rPr>
                <w:b w:val="false"/>
                <w:bCs w:val="false"/>
                <w:color w:val="1A1A1A"/>
                <w:sz w:val="20"/>
                <w:szCs w:val="20"/>
              </w:rPr>
              <w:t xml:space="preserve">Errors say what happened and what it means, never a raw system/API message.</w:t>
            </w:r>
          </w:p>
        </w:tc>
        <w:tc>
          <w:tcPr>
            <w:tcW w:type="dxa" w:w="6000"/>
            <w:shd w:fill="EDF2F4" w:color="auto" w:val="clear"/>
            <w:tcMar>
              <w:top w:type="dxa" w:w="80"/>
              <w:left w:type="dxa" w:w="100"/>
              <w:bottom w:type="dxa" w:w="80"/>
              <w:right w:type="dxa" w:w="100"/>
            </w:tcMar>
            <w:vAlign w:val="center"/>
          </w:tcPr>
          <w:p>
            <w:pPr>
              <w:jc w:val="left"/>
            </w:pPr>
            <w:r>
              <w:rPr>
                <w:b w:val="false"/>
                <w:bCs w:val="false"/>
                <w:color w:val="1A1A1A"/>
                <w:sz w:val="20"/>
                <w:szCs w:val="20"/>
              </w:rPr>
              <w:t xml:space="preserve">“Analysis unavailable — showing general info only”, not “OpenRouter call failed: 401 Unauthorized”.</w:t>
            </w:r>
          </w:p>
        </w:tc>
      </w:tr>
      <w:tr>
        <w:tc>
          <w:tcPr>
            <w:tcW w:type="dxa" w:w="3200"/>
            <w:tcMar>
              <w:top w:type="dxa" w:w="80"/>
              <w:left w:type="dxa" w:w="100"/>
              <w:bottom w:type="dxa" w:w="80"/>
              <w:right w:type="dxa" w:w="100"/>
            </w:tcMar>
            <w:vAlign w:val="center"/>
          </w:tcPr>
          <w:p>
            <w:pPr>
              <w:jc w:val="left"/>
            </w:pPr>
            <w:r>
              <w:rPr>
                <w:b w:val="false"/>
                <w:bCs w:val="false"/>
                <w:color w:val="1A1A1A"/>
                <w:sz w:val="20"/>
                <w:szCs w:val="20"/>
              </w:rPr>
              <w:t xml:space="preserve">Numbers are always paired with what they mean, not shown bare.</w:t>
            </w:r>
          </w:p>
        </w:tc>
        <w:tc>
          <w:tcPr>
            <w:tcW w:type="dxa" w:w="6000"/>
            <w:tcMar>
              <w:top w:type="dxa" w:w="80"/>
              <w:left w:type="dxa" w:w="100"/>
              <w:bottom w:type="dxa" w:w="80"/>
              <w:right w:type="dxa" w:w="100"/>
            </w:tcMar>
            <w:vAlign w:val="center"/>
          </w:tcPr>
          <w:p>
            <w:pPr>
              <w:jc w:val="left"/>
            </w:pPr>
            <w:r>
              <w:rPr>
                <w:b w:val="false"/>
                <w:bCs w:val="false"/>
                <w:color w:val="1A1A1A"/>
                <w:sz w:val="20"/>
                <w:szCs w:val="20"/>
              </w:rPr>
              <w:t xml:space="preserve">“3 of 5 conditions met”, not just “60%”.</w:t>
            </w:r>
          </w:p>
        </w:tc>
      </w:tr>
    </w:tbl>
    <w:p>
      <w:pPr>
        <w:pStyle w:val="Heading1"/>
        <w:pBdr>
          <w:bottom w:val="single" w:color="1F4E5F" w:sz="6" w:space="4"/>
        </w:pBdr>
        <w:spacing w:after="200" w:before="420"/>
      </w:pPr>
      <w:r>
        <w:rPr>
          <w:b/>
          <w:bCs/>
          <w:color w:val="1F4E5F"/>
        </w:rPr>
        <w:t xml:space="preserve">8. Implementation Notes</w:t>
      </w:r>
    </w:p>
    <w:p>
      <w:pPr>
        <w:pStyle w:val="Heading2"/>
        <w:spacing w:after="120" w:before="300"/>
      </w:pPr>
      <w:r>
        <w:rPr>
          <w:b/>
          <w:bCs/>
          <w:color w:val="1F4E5F"/>
        </w:rPr>
        <w:t xml:space="preserve">8.1 Shared content source for plain-language strings</w:t>
      </w:r>
    </w:p>
    <w:p>
      <w:pPr>
        <w:spacing w:after="150" w:line="276"/>
      </w:pPr>
      <w:r>
        <w:t xml:space="preserve">To keep language consistent as new strategies and indicators are added, plain-language explanations should be defined once per indicator/condition and referenced everywhere, not hand-written per card.</w:t>
      </w:r>
    </w:p>
    <w:p>
      <w:pPr>
        <w:pBdr>
          <w:top w:val="single" w:color="CCCCCC" w:sz="4"/>
          <w:bottom w:val="single" w:color="CCCCCC" w:sz="4"/>
          <w:left w:val="single" w:color="CCCCCC" w:sz="4"/>
          <w:right w:val="single" w:color="CCCCCC" w:sz="4"/>
        </w:pBdr>
        <w:shd w:fill="F5F5F0" w:color="auto" w:val="clear"/>
        <w:spacing w:after="200"/>
      </w:pPr>
      <w:r>
        <w:rPr>
          <w:rFonts w:ascii="Consolas" w:cs="Consolas" w:eastAsia="Consolas" w:hAnsi="Consolas"/>
          <w:sz w:val="17"/>
          <w:szCs w:val="17"/>
        </w:rPr>
        <w:t xml:space="preserve">{</w:t>
      </w:r>
      <w:r>
        <w:rPr>
          <w:rFonts w:ascii="Consolas" w:cs="Consolas" w:eastAsia="Consolas" w:hAnsi="Consolas"/>
          <w:sz w:val="17"/>
          <w:szCs w:val="17"/>
        </w:rPr>
        <w:br/>
        <w:t xml:space="preserve">  "rsi": {</w:t>
      </w:r>
      <w:r>
        <w:rPr>
          <w:rFonts w:ascii="Consolas" w:cs="Consolas" w:eastAsia="Consolas" w:hAnsi="Consolas"/>
          <w:sz w:val="17"/>
          <w:szCs w:val="17"/>
        </w:rPr>
        <w:br/>
        <w:t xml:space="preserve">    "label": "Momentum",</w:t>
      </w:r>
      <w:r>
        <w:rPr>
          <w:rFonts w:ascii="Consolas" w:cs="Consolas" w:eastAsia="Consolas" w:hAnsi="Consolas"/>
          <w:sz w:val="17"/>
          <w:szCs w:val="17"/>
        </w:rPr>
        <w:br/>
        <w:t xml:space="preserve">    "explain_template": "RSI at {value} and {direction}. {threshold_note}",</w:t>
      </w:r>
      <w:r>
        <w:rPr>
          <w:rFonts w:ascii="Consolas" w:cs="Consolas" w:eastAsia="Consolas" w:hAnsi="Consolas"/>
          <w:sz w:val="17"/>
          <w:szCs w:val="17"/>
        </w:rPr>
        <w:br/>
        <w:t xml:space="preserve">    "threshold_notes": {</w:t>
      </w:r>
      <w:r>
        <w:rPr>
          <w:rFonts w:ascii="Consolas" w:cs="Consolas" w:eastAsia="Consolas" w:hAnsi="Consolas"/>
          <w:sz w:val="17"/>
          <w:szCs w:val="17"/>
        </w:rPr>
        <w:br/>
        <w:t xml:space="preserve">      "overbought": "Above 70 is usually considered stretched.",</w:t>
      </w:r>
      <w:r>
        <w:rPr>
          <w:rFonts w:ascii="Consolas" w:cs="Consolas" w:eastAsia="Consolas" w:hAnsi="Consolas"/>
          <w:sz w:val="17"/>
          <w:szCs w:val="17"/>
        </w:rPr>
        <w:br/>
        <w:t xml:space="preserve">      "neutral": "Room before this looks overextended.",</w:t>
      </w:r>
      <w:r>
        <w:rPr>
          <w:rFonts w:ascii="Consolas" w:cs="Consolas" w:eastAsia="Consolas" w:hAnsi="Consolas"/>
          <w:sz w:val="17"/>
          <w:szCs w:val="17"/>
        </w:rPr>
        <w:br/>
        <w:t xml:space="preserve">      "oversold": "Below 30 is usually considered oversold."</w:t>
      </w:r>
      <w:r>
        <w:rPr>
          <w:rFonts w:ascii="Consolas" w:cs="Consolas" w:eastAsia="Consolas" w:hAnsi="Consolas"/>
          <w:sz w:val="17"/>
          <w:szCs w:val="17"/>
        </w:rPr>
        <w:br/>
        <w:t xml:space="preserve">    }</w:t>
      </w:r>
      <w:r>
        <w:rPr>
          <w:rFonts w:ascii="Consolas" w:cs="Consolas" w:eastAsia="Consolas" w:hAnsi="Consolas"/>
          <w:sz w:val="17"/>
          <w:szCs w:val="17"/>
        </w:rPr>
        <w:br/>
        <w:t xml:space="preserve">  },</w:t>
      </w:r>
      <w:r>
        <w:rPr>
          <w:rFonts w:ascii="Consolas" w:cs="Consolas" w:eastAsia="Consolas" w:hAnsi="Consolas"/>
          <w:sz w:val="17"/>
          <w:szCs w:val="17"/>
        </w:rPr>
        <w:br/>
        <w:t xml:space="preserve">  "support": {</w:t>
      </w:r>
      <w:r>
        <w:rPr>
          <w:rFonts w:ascii="Consolas" w:cs="Consolas" w:eastAsia="Consolas" w:hAnsi="Consolas"/>
          <w:sz w:val="17"/>
          <w:szCs w:val="17"/>
        </w:rPr>
        <w:br/>
        <w:t xml:space="preserve">    "label": "Structure",</w:t>
      </w:r>
      <w:r>
        <w:rPr>
          <w:rFonts w:ascii="Consolas" w:cs="Consolas" w:eastAsia="Consolas" w:hAnsi="Consolas"/>
          <w:sz w:val="17"/>
          <w:szCs w:val="17"/>
        </w:rPr>
        <w:br/>
        <w:t xml:space="preserve">    "explain_template": "Support at {price} has held {touches} times — a level buyers have repeatedly stepped in at."</w:t>
      </w:r>
      <w:r>
        <w:rPr>
          <w:rFonts w:ascii="Consolas" w:cs="Consolas" w:eastAsia="Consolas" w:hAnsi="Consolas"/>
          <w:sz w:val="17"/>
          <w:szCs w:val="17"/>
        </w:rPr>
        <w:br/>
        <w:t xml:space="preserve">  }</w:t>
      </w:r>
      <w:r>
        <w:rPr>
          <w:rFonts w:ascii="Consolas" w:cs="Consolas" w:eastAsia="Consolas" w:hAnsi="Consolas"/>
          <w:sz w:val="17"/>
          <w:szCs w:val="17"/>
        </w:rPr>
        <w:br/>
        <w:t xml:space="preserve">}</w:t>
      </w:r>
    </w:p>
    <w:p>
      <w:pPr>
        <w:pStyle w:val="Heading2"/>
        <w:spacing w:after="120" w:before="300"/>
      </w:pPr>
      <w:r>
        <w:rPr>
          <w:b/>
          <w:bCs/>
          <w:color w:val="1F4E5F"/>
        </w:rPr>
        <w:t xml:space="preserve">8.2 Card component contract</w:t>
      </w:r>
    </w:p>
    <w:p>
      <w:pPr>
        <w:spacing w:after="150" w:line="276"/>
      </w:pPr>
      <w:r>
        <w:t xml:space="preserve">Suggested component props so every card (open position or watchlist) renders the same structure from the same data shape:</w:t>
      </w:r>
    </w:p>
    <w:p>
      <w:pPr>
        <w:pBdr>
          <w:top w:val="single" w:color="CCCCCC" w:sz="4"/>
          <w:bottom w:val="single" w:color="CCCCCC" w:sz="4"/>
          <w:left w:val="single" w:color="CCCCCC" w:sz="4"/>
          <w:right w:val="single" w:color="CCCCCC" w:sz="4"/>
        </w:pBdr>
        <w:shd w:fill="F5F5F0" w:color="auto" w:val="clear"/>
        <w:spacing w:after="200"/>
      </w:pPr>
      <w:r>
        <w:rPr>
          <w:rFonts w:ascii="Consolas" w:cs="Consolas" w:eastAsia="Consolas" w:hAnsi="Consolas"/>
          <w:sz w:val="17"/>
          <w:szCs w:val="17"/>
        </w:rPr>
        <w:t xml:space="preserve">Card {</w:t>
      </w:r>
      <w:r>
        <w:rPr>
          <w:rFonts w:ascii="Consolas" w:cs="Consolas" w:eastAsia="Consolas" w:hAnsi="Consolas"/>
          <w:sz w:val="17"/>
          <w:szCs w:val="17"/>
        </w:rPr>
        <w:br/>
        <w:t xml:space="preserve">  identity: { symbol, price, change_pct, tag }</w:t>
      </w:r>
      <w:r>
        <w:rPr>
          <w:rFonts w:ascii="Consolas" w:cs="Consolas" w:eastAsia="Consolas" w:hAnsi="Consolas"/>
          <w:sz w:val="17"/>
          <w:szCs w:val="17"/>
        </w:rPr>
        <w:br/>
        <w:t xml:space="preserve">  summary: string                 // plain-language, 1 sentence</w:t>
      </w:r>
      <w:r>
        <w:rPr>
          <w:rFonts w:ascii="Consolas" w:cs="Consolas" w:eastAsia="Consolas" w:hAnsi="Consolas"/>
          <w:sz w:val="17"/>
          <w:szCs w:val="17"/>
        </w:rPr>
        <w:br/>
        <w:t xml:space="preserve">  conditions: { met: number, total: number, items: ConditionItem[] }</w:t>
      </w:r>
      <w:r>
        <w:rPr>
          <w:rFonts w:ascii="Consolas" w:cs="Consolas" w:eastAsia="Consolas" w:hAnsi="Consolas"/>
          <w:sz w:val="17"/>
          <w:szCs w:val="17"/>
        </w:rPr>
        <w:br/>
        <w:t xml:space="preserve">  reasoning: ReasoningItem[]       // trend, momentum, volume, structure</w:t>
      </w:r>
      <w:r>
        <w:rPr>
          <w:rFonts w:ascii="Consolas" w:cs="Consolas" w:eastAsia="Consolas" w:hAnsi="Consolas"/>
          <w:sz w:val="17"/>
          <w:szCs w:val="17"/>
        </w:rPr>
        <w:br/>
        <w:t xml:space="preserve">  invalidation: string[]           // "what would change this" bullets</w:t>
      </w:r>
      <w:r>
        <w:rPr>
          <w:rFonts w:ascii="Consolas" w:cs="Consolas" w:eastAsia="Consolas" w:hAnsi="Consolas"/>
          <w:sz w:val="17"/>
          <w:szCs w:val="17"/>
        </w:rPr>
        <w:br/>
        <w:t xml:space="preserve">  stress_test: StressTest</w:t>
      </w:r>
      <w:r>
        <w:rPr>
          <w:rFonts w:ascii="Consolas" w:cs="Consolas" w:eastAsia="Consolas" w:hAnsi="Consolas"/>
          <w:sz w:val="17"/>
          <w:szCs w:val="17"/>
        </w:rPr>
        <w:br/>
        <w:t xml:space="preserve">  detail: { stop, target, pnl, r_multiple, order_status }   // collapsed by default</w:t>
      </w:r>
      <w:r>
        <w:rPr>
          <w:rFonts w:ascii="Consolas" w:cs="Consolas" w:eastAsia="Consolas" w:hAnsi="Consolas"/>
          <w:sz w:val="17"/>
          <w:szCs w:val="17"/>
        </w:rPr>
        <w:br/>
        <w:t xml:space="preserve">  data_state: "live" | "degraded" | "unavailable"</w:t>
      </w:r>
      <w:r>
        <w:rPr>
          <w:rFonts w:ascii="Consolas" w:cs="Consolas" w:eastAsia="Consolas" w:hAnsi="Consolas"/>
          <w:sz w:val="17"/>
          <w:szCs w:val="17"/>
        </w:rPr>
        <w:br/>
        <w:t xml:space="preserve">}</w:t>
      </w:r>
      <w:r>
        <w:rPr>
          <w:rFonts w:ascii="Consolas" w:cs="Consolas" w:eastAsia="Consolas" w:hAnsi="Consolas"/>
          <w:sz w:val="17"/>
          <w:szCs w:val="17"/>
        </w:rPr>
        <w:br/>
        <w:t xml:space="preserve"/>
      </w:r>
      <w:r>
        <w:rPr>
          <w:rFonts w:ascii="Consolas" w:cs="Consolas" w:eastAsia="Consolas" w:hAnsi="Consolas"/>
          <w:sz w:val="17"/>
          <w:szCs w:val="17"/>
        </w:rPr>
        <w:br/>
        <w:t xml:space="preserve">ReasoningItem {</w:t>
      </w:r>
      <w:r>
        <w:rPr>
          <w:rFonts w:ascii="Consolas" w:cs="Consolas" w:eastAsia="Consolas" w:hAnsi="Consolas"/>
          <w:sz w:val="17"/>
          <w:szCs w:val="17"/>
        </w:rPr>
        <w:br/>
        <w:t xml:space="preserve">  category: "trend" | "momentum" | "volume" | "structure"</w:t>
      </w:r>
      <w:r>
        <w:rPr>
          <w:rFonts w:ascii="Consolas" w:cs="Consolas" w:eastAsia="Consolas" w:hAnsi="Consolas"/>
          <w:sz w:val="17"/>
          <w:szCs w:val="17"/>
        </w:rPr>
        <w:br/>
        <w:t xml:space="preserve">  plain_statement: string</w:t>
      </w:r>
      <w:r>
        <w:rPr>
          <w:rFonts w:ascii="Consolas" w:cs="Consolas" w:eastAsia="Consolas" w:hAnsi="Consolas"/>
          <w:sz w:val="17"/>
          <w:szCs w:val="17"/>
        </w:rPr>
        <w:br/>
        <w:t xml:space="preserve">  supporting_stat: string</w:t>
      </w:r>
      <w:r>
        <w:rPr>
          <w:rFonts w:ascii="Consolas" w:cs="Consolas" w:eastAsia="Consolas" w:hAnsi="Consolas"/>
          <w:sz w:val="17"/>
          <w:szCs w:val="17"/>
        </w:rPr>
        <w:br/>
        <w:t xml:space="preserve">}</w:t>
      </w:r>
      <w:r>
        <w:rPr>
          <w:rFonts w:ascii="Consolas" w:cs="Consolas" w:eastAsia="Consolas" w:hAnsi="Consolas"/>
          <w:sz w:val="17"/>
          <w:szCs w:val="17"/>
        </w:rPr>
        <w:br/>
        <w:t xml:space="preserve"/>
      </w:r>
      <w:r>
        <w:rPr>
          <w:rFonts w:ascii="Consolas" w:cs="Consolas" w:eastAsia="Consolas" w:hAnsi="Consolas"/>
          <w:sz w:val="17"/>
          <w:szCs w:val="17"/>
        </w:rPr>
        <w:br/>
        <w:t xml:space="preserve">StressTest {</w:t>
      </w:r>
      <w:r>
        <w:rPr>
          <w:rFonts w:ascii="Consolas" w:cs="Consolas" w:eastAsia="Consolas" w:hAnsi="Consolas"/>
          <w:sz w:val="17"/>
          <w:szCs w:val="17"/>
        </w:rPr>
        <w:br/>
        <w:t xml:space="preserve">  is_hypothetical: boolean         // true for watchlist symbols</w:t>
      </w:r>
      <w:r>
        <w:rPr>
          <w:rFonts w:ascii="Consolas" w:cs="Consolas" w:eastAsia="Consolas" w:hAnsi="Consolas"/>
          <w:sz w:val="17"/>
          <w:szCs w:val="17"/>
        </w:rPr>
        <w:br/>
        <w:t xml:space="preserve">  entry_price: number</w:t>
      </w:r>
      <w:r>
        <w:rPr>
          <w:rFonts w:ascii="Consolas" w:cs="Consolas" w:eastAsia="Consolas" w:hAnsi="Consolas"/>
          <w:sz w:val="17"/>
          <w:szCs w:val="17"/>
        </w:rPr>
        <w:br/>
        <w:t xml:space="preserve">  shares: number</w:t>
      </w:r>
      <w:r>
        <w:rPr>
          <w:rFonts w:ascii="Consolas" w:cs="Consolas" w:eastAsia="Consolas" w:hAnsi="Consolas"/>
          <w:sz w:val="17"/>
          <w:szCs w:val="17"/>
        </w:rPr>
        <w:br/>
        <w:t xml:space="preserve">  stop_price: number</w:t>
      </w:r>
      <w:r>
        <w:rPr>
          <w:rFonts w:ascii="Consolas" w:cs="Consolas" w:eastAsia="Consolas" w:hAnsi="Consolas"/>
          <w:sz w:val="17"/>
          <w:szCs w:val="17"/>
        </w:rPr>
        <w:br/>
        <w:t xml:space="preserve">  target_price: number | null</w:t>
      </w:r>
      <w:r>
        <w:rPr>
          <w:rFonts w:ascii="Consolas" w:cs="Consolas" w:eastAsia="Consolas" w:hAnsi="Consolas"/>
          <w:sz w:val="17"/>
          <w:szCs w:val="17"/>
        </w:rPr>
        <w:br/>
        <w:t xml:space="preserve">  scenarios: ScenarioResult[]      // stop, support, flat, resistance, target</w:t>
      </w:r>
      <w:r>
        <w:rPr>
          <w:rFonts w:ascii="Consolas" w:cs="Consolas" w:eastAsia="Consolas" w:hAnsi="Consolas"/>
          <w:sz w:val="17"/>
          <w:szCs w:val="17"/>
        </w:rPr>
        <w:br/>
        <w:t xml:space="preserve">  custom_input_enabled: boolean</w:t>
      </w:r>
      <w:r>
        <w:rPr>
          <w:rFonts w:ascii="Consolas" w:cs="Consolas" w:eastAsia="Consolas" w:hAnsi="Consolas"/>
          <w:sz w:val="17"/>
          <w:szCs w:val="17"/>
        </w:rPr>
        <w:br/>
        <w:t xml:space="preserve">}</w:t>
      </w:r>
      <w:r>
        <w:rPr>
          <w:rFonts w:ascii="Consolas" w:cs="Consolas" w:eastAsia="Consolas" w:hAnsi="Consolas"/>
          <w:sz w:val="17"/>
          <w:szCs w:val="17"/>
        </w:rPr>
        <w:br/>
        <w:t xml:space="preserve"/>
      </w:r>
      <w:r>
        <w:rPr>
          <w:rFonts w:ascii="Consolas" w:cs="Consolas" w:eastAsia="Consolas" w:hAnsi="Consolas"/>
          <w:sz w:val="17"/>
          <w:szCs w:val="17"/>
        </w:rPr>
        <w:br/>
        <w:t xml:space="preserve">ScenarioResult {</w:t>
      </w:r>
      <w:r>
        <w:rPr>
          <w:rFonts w:ascii="Consolas" w:cs="Consolas" w:eastAsia="Consolas" w:hAnsi="Consolas"/>
          <w:sz w:val="17"/>
          <w:szCs w:val="17"/>
        </w:rPr>
        <w:br/>
        <w:t xml:space="preserve">  label: string                    // "Hits stop-loss", "Drops to support", ...</w:t>
      </w:r>
      <w:r>
        <w:rPr>
          <w:rFonts w:ascii="Consolas" w:cs="Consolas" w:eastAsia="Consolas" w:hAnsi="Consolas"/>
          <w:sz w:val="17"/>
          <w:szCs w:val="17"/>
        </w:rPr>
        <w:br/>
        <w:t xml:space="preserve">  trigger_price: number</w:t>
      </w:r>
      <w:r>
        <w:rPr>
          <w:rFonts w:ascii="Consolas" w:cs="Consolas" w:eastAsia="Consolas" w:hAnsi="Consolas"/>
          <w:sz w:val="17"/>
          <w:szCs w:val="17"/>
        </w:rPr>
        <w:br/>
        <w:t xml:space="preserve">  pnl_dollars: number</w:t>
      </w:r>
      <w:r>
        <w:rPr>
          <w:rFonts w:ascii="Consolas" w:cs="Consolas" w:eastAsia="Consolas" w:hAnsi="Consolas"/>
          <w:sz w:val="17"/>
          <w:szCs w:val="17"/>
        </w:rPr>
        <w:br/>
        <w:t xml:space="preserve">  pnl_pct: number</w:t>
      </w:r>
      <w:r>
        <w:rPr>
          <w:rFonts w:ascii="Consolas" w:cs="Consolas" w:eastAsia="Consolas" w:hAnsi="Consolas"/>
          <w:sz w:val="17"/>
          <w:szCs w:val="17"/>
        </w:rPr>
        <w:br/>
        <w:t xml:space="preserve">  r_multiple: number</w:t>
      </w:r>
      <w:r>
        <w:rPr>
          <w:rFonts w:ascii="Consolas" w:cs="Consolas" w:eastAsia="Consolas" w:hAnsi="Consolas"/>
          <w:sz w:val="17"/>
          <w:szCs w:val="17"/>
        </w:rPr>
        <w:br/>
        <w:t xml:space="preserve">  working: string[]                // ordered lines of the shown calculation</w:t>
      </w:r>
      <w:r>
        <w:rPr>
          <w:rFonts w:ascii="Consolas" w:cs="Consolas" w:eastAsia="Consolas" w:hAnsi="Consolas"/>
          <w:sz w:val="17"/>
          <w:szCs w:val="17"/>
        </w:rPr>
        <w:br/>
        <w:t xml:space="preserve">}</w:t>
      </w:r>
    </w:p>
    <w:p>
      <w:pPr>
        <w:pStyle w:val="Heading2"/>
        <w:spacing w:after="120" w:before="300"/>
      </w:pPr>
      <w:r>
        <w:rPr>
          <w:b/>
          <w:bCs/>
          <w:color w:val="1F4E5F"/>
        </w:rPr>
        <w:t xml:space="preserve">8.3 Degraded-state handling</w:t>
      </w:r>
    </w:p>
    <w:p>
      <w:pPr>
        <w:pStyle w:val="ListParagraph"/>
        <w:numPr>
          <w:ilvl w:val="0"/>
          <w:numId w:val="2"/>
        </w:numPr>
        <w:spacing w:after="80" w:line="264"/>
      </w:pPr>
      <w:r>
        <w:t xml:space="preserve">data_state should be set per-card, not just globally at the page level, since a partial provider outage may only affect some symbols.</w:t>
      </w:r>
    </w:p>
    <w:p>
      <w:pPr>
        <w:pStyle w:val="ListParagraph"/>
        <w:numPr>
          <w:ilvl w:val="0"/>
          <w:numId w:val="2"/>
        </w:numPr>
        <w:spacing w:after="80" w:line="264"/>
      </w:pPr>
      <w:r>
        <w:t xml:space="preserve">When data_state is "degraded" or "unavailable", the reasoning walkthrough should either be hidden in favor of a clear explanatory message, or visually marked as non-live throughout — never rendered identically to live analysis.</w:t>
      </w:r>
    </w:p>
    <w:p>
      <w:pPr>
        <w:pStyle w:val="Heading2"/>
        <w:spacing w:after="120" w:before="300"/>
      </w:pPr>
      <w:r>
        <w:rPr>
          <w:b/>
          <w:bCs/>
          <w:color w:val="1F4E5F"/>
        </w:rPr>
        <w:t xml:space="preserve">8.4 First-run tour</w:t>
      </w:r>
    </w:p>
    <w:p>
      <w:pPr>
        <w:pStyle w:val="ListParagraph"/>
        <w:numPr>
          <w:ilvl w:val="0"/>
          <w:numId w:val="2"/>
        </w:numPr>
        <w:spacing w:after="80" w:line="264"/>
      </w:pPr>
      <w:r>
        <w:t xml:space="preserve">Store completion/dismissal state per user so the tour does not reappear on every visit.</w:t>
      </w:r>
    </w:p>
    <w:p>
      <w:pPr>
        <w:pStyle w:val="ListParagraph"/>
        <w:numPr>
          <w:ilvl w:val="0"/>
          <w:numId w:val="2"/>
        </w:numPr>
        <w:spacing w:after="80" w:line="264"/>
      </w:pPr>
      <w:r>
        <w:t xml:space="preserve">Tour copy should reference the actual first real card on screen, not a generic example, so what the user learns matches what they immediately see.</w:t>
      </w:r>
    </w:p>
    <w:p>
      <w:pPr>
        <w:pStyle w:val="Heading1"/>
        <w:pBdr>
          <w:bottom w:val="single" w:color="1F4E5F" w:sz="6" w:space="4"/>
        </w:pBdr>
        <w:spacing w:after="200" w:before="420"/>
      </w:pPr>
      <w:r>
        <w:rPr>
          <w:b/>
          <w:bCs/>
          <w:color w:val="1F4E5F"/>
        </w:rPr>
        <w:t xml:space="preserve">9. Definition of Done</w:t>
      </w:r>
    </w:p>
    <w:p>
      <w:pPr>
        <w:spacing w:after="150" w:line="276"/>
      </w:pPr>
      <w:r>
        <w:t xml:space="preserve">A new user, with no prior exposure to the product and no external documentation, should be able to:</w:t>
      </w:r>
    </w:p>
    <w:p>
      <w:pPr>
        <w:pStyle w:val="ListParagraph"/>
        <w:numPr>
          <w:ilvl w:val="0"/>
          <w:numId w:val="3"/>
        </w:numPr>
        <w:spacing w:after="90" w:line="264"/>
      </w:pPr>
      <w:r>
        <w:t xml:space="preserve">Look at any single card and state in their own words what it means, without asking someone else or searching for a term.</w:t>
      </w:r>
    </w:p>
    <w:p>
      <w:pPr>
        <w:pStyle w:val="ListParagraph"/>
        <w:numPr>
          <w:ilvl w:val="0"/>
          <w:numId w:val="3"/>
        </w:numPr>
        <w:spacing w:after="90" w:line="264"/>
      </w:pPr>
      <w:r>
        <w:t xml:space="preserve">Explain why a card does or doesn't suggest attention, by reading the reasoning walkthrough alone.</w:t>
      </w:r>
    </w:p>
    <w:p>
      <w:pPr>
        <w:pStyle w:val="ListParagraph"/>
        <w:numPr>
          <w:ilvl w:val="0"/>
          <w:numId w:val="3"/>
        </w:numPr>
        <w:spacing w:after="90" w:line="264"/>
      </w:pPr>
      <w:r>
        <w:t xml:space="preserve">Identify, without help, which cards are showing live analysis versus degraded/fallback content.</w:t>
      </w:r>
    </w:p>
    <w:p>
      <w:pPr>
        <w:pStyle w:val="ListParagraph"/>
        <w:numPr>
          <w:ilvl w:val="0"/>
          <w:numId w:val="3"/>
        </w:numPr>
        <w:spacing w:after="90" w:line="264"/>
      </w:pPr>
      <w:r>
        <w:t xml:space="preserve">Understand why a watchlist signal was or wasn't turned into an order, from the card itself.</w:t>
      </w:r>
    </w:p>
    <w:p>
      <w:pPr>
        <w:pStyle w:val="ListParagraph"/>
        <w:numPr>
          <w:ilvl w:val="0"/>
          <w:numId w:val="3"/>
        </w:numPr>
        <w:spacing w:after="90" w:line="264"/>
      </w:pPr>
      <w:r>
        <w:t xml:space="preserve">Complete the first-run tour and immediately recognize the same pattern on every other card in the section.</w:t>
      </w:r>
    </w:p>
    <w:p>
      <w:pPr>
        <w:pStyle w:val="ListParagraph"/>
        <w:numPr>
          <w:ilvl w:val="0"/>
          <w:numId w:val="3"/>
        </w:numPr>
        <w:spacing w:after="90" w:line="264"/>
      </w:pPr>
      <w:r>
        <w:t xml:space="preserve">Open the stress test on any position and correctly state what the P&amp;L would be at the stop, support, resistance, and target levels, in their own words — and verify at least one of those numbers by following the shown working.</w:t>
      </w:r>
    </w:p>
    <w:p>
      <w:pPr>
        <w:pStyle w:val="ListParagraph"/>
        <w:numPr>
          <w:ilvl w:val="0"/>
          <w:numId w:val="3"/>
        </w:numPr>
        <w:spacing w:after="90" w:line="264"/>
      </w:pPr>
      <w:r>
        <w:t xml:space="preserve">Explain, without prompting, that the stress test shows outcomes rather than predictions — i.e. it does not tell them how likely any scenario is.</w:t>
      </w:r>
    </w:p>
    <w:p>
      <w:pPr>
        <w:spacing w:after="120"/>
      </w:pPr>
    </w:p>
    <w:p>
      <w:pPr>
        <w:spacing w:after="150" w:line="276"/>
      </w:pPr>
      <w:r>
        <w:t xml:space="preserve">If any of the above requires the user to leave the product — to search, ask, or read a spec — the section is not done.</w:t>
      </w:r>
    </w:p>
    <w:p>
      <w:pPr>
        <w:pStyle w:val="Heading1"/>
        <w:pBdr>
          <w:bottom w:val="single" w:color="1F4E5F" w:sz="6" w:space="4"/>
        </w:pBdr>
        <w:spacing w:after="200" w:before="420"/>
      </w:pPr>
      <w:r>
        <w:rPr>
          <w:b/>
          <w:bCs/>
          <w:color w:val="1F4E5F"/>
        </w:rPr>
        <w:t xml:space="preserve">10. Open Questions for the Team</w:t>
      </w:r>
    </w:p>
    <w:p>
      <w:pPr>
        <w:pStyle w:val="ListParagraph"/>
        <w:numPr>
          <w:ilvl w:val="0"/>
          <w:numId w:val="2"/>
        </w:numPr>
        <w:spacing w:after="80" w:line="264"/>
      </w:pPr>
      <w:r>
        <w:t xml:space="preserve">Where should the shared plain-language content source (Section 8.1) live — a config file, CMS, or code constants — and who owns edits as new indicators are added?</w:t>
      </w:r>
    </w:p>
    <w:p>
      <w:pPr>
        <w:pStyle w:val="ListParagraph"/>
        <w:numPr>
          <w:ilvl w:val="0"/>
          <w:numId w:val="2"/>
        </w:numPr>
        <w:spacing w:after="80" w:line="264"/>
      </w:pPr>
      <w:r>
        <w:t xml:space="preserve">Should the “conditions met” count be identical to the criteria the strategy actually screens on, or a curated subset chosen for clarity? (Recommend: identical, to avoid the interface implying more than the strategy actually checks.)</w:t>
      </w:r>
    </w:p>
    <w:p>
      <w:pPr>
        <w:pStyle w:val="ListParagraph"/>
        <w:numPr>
          <w:ilvl w:val="0"/>
          <w:numId w:val="2"/>
        </w:numPr>
        <w:spacing w:after="80" w:line="264"/>
      </w:pPr>
      <w:r>
        <w:t xml:space="preserve">What is the fallback behavior when a symbol has too little data to complete the reasoning walkthrough (e.g. a recent IPO with no 200-day average)? The card should say so plainly rather than showing partial or blank sections.</w:t>
      </w:r>
    </w:p>
    <w:p>
      <w:pPr>
        <w:pStyle w:val="ListParagraph"/>
        <w:numPr>
          <w:ilvl w:val="0"/>
          <w:numId w:val="2"/>
        </w:numPr>
        <w:spacing w:after="80" w:line="264"/>
      </w:pPr>
      <w:r>
        <w:t xml:space="preserve">Does the first-run tour need to be repeatable per section (Open Positions vs. Watchlist), or is one pass across the whole Analyst area sufficient?</w:t>
      </w:r>
    </w:p>
    <w:p>
      <w:pPr>
        <w:pStyle w:val="ListParagraph"/>
        <w:numPr>
          <w:ilvl w:val="0"/>
          <w:numId w:val="2"/>
        </w:numPr>
        <w:spacing w:after="80" w:line="264"/>
      </w:pPr>
      <w:r>
        <w:t xml:space="preserve">For watchlist hypothetical stress tests, should position size follow the strategy's default risk-per-trade setting, or the user's actual account size/risk settings if connected? These can give different share counts and should be labeled clearly either way.</w:t>
      </w:r>
    </w:p>
    <w:p>
      <w:pPr>
        <w:pStyle w:val="ListParagraph"/>
        <w:numPr>
          <w:ilvl w:val="0"/>
          <w:numId w:val="2"/>
        </w:numPr>
        <w:spacing w:after="80" w:line="264"/>
      </w:pPr>
      <w:r>
        <w:t xml:space="preserve">Should the stress test ever extend beyond the five default levels (e.g. a wider tail-risk scenario such as a gap-through-stop), and if so, how is that framed without implying a probability or forecast?</w:t>
      </w:r>
    </w:p>
    <w:p>
      <w:pPr>
        <w:pStyle w:val="ListParagraph"/>
        <w:numPr>
          <w:ilvl w:val="0"/>
          <w:numId w:val="2"/>
        </w:numPr>
        <w:spacing w:after="80" w:line="264"/>
      </w:pPr>
      <w:r>
        <w:t xml:space="preserve">For open positions nearing their stop or target, should the stress test refresh in real time as price moves, or only on manual refresh — real-time updates could reduce clarity if numbers change mid-read.</w:t>
      </w:r>
    </w:p>
    <w:p>
      <w:pPr>
        <w:pStyle w:val="Heading1"/>
        <w:pBdr>
          <w:bottom w:val="single" w:color="1F4E5F" w:sz="6" w:space="4"/>
        </w:pBdr>
        <w:spacing w:after="200" w:before="420"/>
      </w:pPr>
      <w:r>
        <w:rPr>
          <w:b/>
          <w:bCs/>
          <w:color w:val="1F4E5F"/>
        </w:rPr>
        <w:t xml:space="preserve">11. Disclaimer</w:t>
      </w:r>
    </w:p>
    <w:p>
      <w:pPr>
        <w:spacing w:after="150" w:line="276"/>
      </w:pPr>
      <w:r>
        <w:rPr>
          <w:i/>
          <w:iCs/>
          <w:color w:val="5A6570"/>
        </w:rPr>
        <w:t xml:space="preserve">This document is a UX and implementation specification intended to guide product and engineering work. It does not constitute investment advice, and no example figures, tickers, or scenarios in this document are trade recommendations.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936" w:hanging="288"/>
      </w:pPr>
    </w:lvl>
  </w:abstractNum>
  <w:abstractNum w:abstractNumId="3" w15:restartNumberingAfterBreak="0">
    <w:multiLevelType w:val="hybridMultilevel"/>
    <w:lvl w:ilvl="0" w15:tentative="1">
      <w:start w:val="1"/>
      <w:numFmt w:val="decimal"/>
      <w:lvlText w:val="%1."/>
      <w:lvlJc w:val="left"/>
      <w:pPr>
        <w:ind w:left="504" w:hanging="360"/>
      </w:pPr>
    </w:lvl>
  </w:abstractNum>
  <w:abstractNum w:abstractNumId="4"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2026-07-08T18:23:22.888Z</dcterms:created>
  <dcterms:modified xsi:type="dcterms:W3CDTF">2026-07-08T18:23:22.900Z</dcterms:modified>
</cp:coreProperties>
</file>

<file path=docProps/custom.xml><?xml version="1.0" encoding="utf-8"?>
<Properties xmlns="http://schemas.openxmlformats.org/officeDocument/2006/custom-properties" xmlns:vt="http://schemas.openxmlformats.org/officeDocument/2006/docPropsVTypes"/>
</file>