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1" w:name="Xcd29c67dc0e87afc21306fc8fb70990e546ae07"/>
    <w:p>
      <w:pPr>
        <w:pStyle w:val="Heading1"/>
      </w:pPr>
      <w:r>
        <w:t xml:space="preserve">High-Selectivity Trading Strategy Specification</w:t>
      </w:r>
    </w:p>
    <w:p>
      <w:pPr>
        <w:pStyle w:val="FirstParagraph"/>
      </w:pPr>
      <w:r>
        <w:rPr>
          <w:bCs/>
          <w:b/>
        </w:rPr>
        <w:t xml:space="preserve">Universe:</w:t>
      </w:r>
      <w:r>
        <w:t xml:space="preserve"> </w:t>
      </w:r>
      <w:r>
        <w:t xml:space="preserve">Equities / ETFs</w:t>
      </w:r>
      <w:r>
        <w:t xml:space="preserve"> </w:t>
      </w:r>
      <w:r>
        <w:rPr>
          <w:bCs/>
          <w:b/>
        </w:rPr>
        <w:t xml:space="preserve">Timeframe:</w:t>
      </w:r>
      <w:r>
        <w:t xml:space="preserve"> </w:t>
      </w:r>
      <w:r>
        <w:t xml:space="preserve">Mixed / multi-timeframe (daily structure, intraday/4H triggers)</w:t>
      </w:r>
      <w:r>
        <w:t xml:space="preserve"> </w:t>
      </w:r>
      <w:r>
        <w:rPr>
          <w:bCs/>
          <w:b/>
        </w:rPr>
        <w:t xml:space="preserve">Prepared for:</w:t>
      </w:r>
      <w:r>
        <w:t xml:space="preserve"> </w:t>
      </w:r>
      <w:r>
        <w:t xml:space="preserve">Development team — implementation &amp; backtesting</w:t>
      </w:r>
      <w:r>
        <w:t xml:space="preserve"> </w:t>
      </w:r>
      <w:r>
        <w:rPr>
          <w:bCs/>
          <w:b/>
        </w:rPr>
        <w:t xml:space="preserve">Status:</w:t>
      </w:r>
      <w:r>
        <w:t xml:space="preserve"> </w:t>
      </w:r>
      <w:r>
        <w:t xml:space="preserve">Specification only. No live backtest results are included — see Section 7 for why, and the required methodology to produce them.</w:t>
      </w:r>
    </w:p>
    <w:p>
      <w:r>
        <w:pict>
          <v:rect style="width:0;height:1.5pt" o:hralign="center" o:hrstd="t" o:hr="t"/>
        </w:pict>
      </w:r>
    </w:p>
    <w:bookmarkStart w:id="20" w:name="important-note-on-backtested-results"/>
    <w:p>
      <w:pPr>
        <w:pStyle w:val="Heading2"/>
      </w:pPr>
      <w:r>
        <w:t xml:space="preserve">0. Important note on</w:t>
      </w:r>
      <w:r>
        <w:t xml:space="preserve"> </w:t>
      </w:r>
      <w:r>
        <w:t xml:space="preserve">“</w:t>
      </w:r>
      <w:r>
        <w:t xml:space="preserve">backtested results</w:t>
      </w:r>
      <w:r>
        <w:t xml:space="preserve">”</w:t>
      </w:r>
    </w:p>
    <w:p>
      <w:pPr>
        <w:pStyle w:val="FirstParagraph"/>
      </w:pPr>
      <w:r>
        <w:t xml:space="preserve">This document does</w:t>
      </w:r>
      <w:r>
        <w:t xml:space="preserve"> </w:t>
      </w:r>
      <w:r>
        <w:rPr>
          <w:bCs/>
          <w:b/>
        </w:rPr>
        <w:t xml:space="preserve">not</w:t>
      </w:r>
      <w:r>
        <w:t xml:space="preserve"> </w:t>
      </w:r>
      <w:r>
        <w:t xml:space="preserve">contain performance numbers (win rate, Sharpe, drawdown, etc.). Any numbers presented without having been run on your actual data feed, universe, and cost model would be fabricated and could mislead sizing/risk decisions. Section 8 gives the exact backtesting protocol the dev team should run per strategy before any capital — even paper capital — is allocated. Once run, populate the results table in Section 9 with real output.</w:t>
      </w:r>
    </w:p>
    <w:p>
      <w:pPr>
        <w:pStyle w:val="BodyText"/>
      </w:pPr>
      <w:r>
        <w:t xml:space="preserve">Strategies A–E below are designed around the same principle:</w:t>
      </w:r>
      <w:r>
        <w:t xml:space="preserve"> </w:t>
      </w:r>
      <w:r>
        <w:rPr>
          <w:bCs/>
          <w:b/>
        </w:rPr>
        <w:t xml:space="preserve">stack multiple independent, high-specificity filters so the setup fires rarely but each firing has cleaner statistical edge than a single-indicator system.</w:t>
      </w:r>
      <w:r>
        <w:t xml:space="preserve"> </w:t>
      </w:r>
      <w:r>
        <w:t xml:space="preserve">Selectivity is a parameter (thresholds below), so frequency/win-rate can be tuned as real data comes in. Strategy F (Turnaround Tuesday) is different in kind — a published day-of-week seasonal effect rather than a multi-filter technical setup — included because it’s naturally low-frequency (fires at most weekly) and largely uncorrelated with A–E, which makes it a useful diversifier alongside them.</w:t>
      </w:r>
    </w:p>
    <w:p>
      <w:r>
        <w:pict>
          <v:rect style="width:0;height:1.5pt" o:hralign="center" o:hrstd="t" o:hr="t"/>
        </w:pict>
      </w:r>
    </w:p>
    <w:bookmarkEnd w:id="20"/>
    <w:bookmarkStart w:id="21" w:name="X3e9f56fba6ab84328996139489b12375f4cf2be"/>
    <w:p>
      <w:pPr>
        <w:pStyle w:val="Heading2"/>
      </w:pPr>
      <w:r>
        <w:t xml:space="preserve">1. Strategy A — RSI-2 Extreme Mean Reversion at Structural Support/Resistance</w:t>
      </w:r>
    </w:p>
    <w:p>
      <w:pPr>
        <w:pStyle w:val="FirstParagraph"/>
      </w:pPr>
      <w:r>
        <w:rPr>
          <w:bCs/>
          <w:b/>
        </w:rPr>
        <w:t xml:space="preserve">Thesis:</w:t>
      </w:r>
      <w:r>
        <w:t xml:space="preserve"> </w:t>
      </w:r>
      <w:r>
        <w:t xml:space="preserve">Short-term oscillator extremes are noisy on their own. Requiring the extreme to coincide with a pre-established structural level (not just</w:t>
      </w:r>
      <w:r>
        <w:t xml:space="preserve"> </w:t>
      </w:r>
      <w:r>
        <w:t xml:space="preserve">“</w:t>
      </w:r>
      <w:r>
        <w:t xml:space="preserve">oversold</w:t>
      </w:r>
      <w:r>
        <w:t xml:space="preserve">”</w:t>
      </w:r>
      <w:r>
        <w:t xml:space="preserve">) filters out most false signals.</w:t>
      </w:r>
    </w:p>
    <w:p>
      <w:pPr>
        <w:pStyle w:val="BodyText"/>
      </w:pPr>
      <w:r>
        <w:rPr>
          <w:bCs/>
          <w:b/>
        </w:rPr>
        <w:t xml:space="preserve">Timeframe:</w:t>
      </w:r>
      <w:r>
        <w:t xml:space="preserve"> </w:t>
      </w:r>
      <w:r>
        <w:t xml:space="preserve">Daily bias, daily execution.</w:t>
      </w:r>
    </w:p>
    <w:p>
      <w:pPr>
        <w:pStyle w:val="BodyText"/>
      </w:pPr>
      <w:r>
        <w:rPr>
          <w:bCs/>
          <w:b/>
        </w:rPr>
        <w:t xml:space="preserve">Entry (long example — mirror for short):</w:t>
      </w:r>
      <w:r>
        <w:t xml:space="preserve"> </w:t>
      </w:r>
      <w:r>
        <w:t xml:space="preserve">1. Stock/ETF is above its 200-day SMA (long-term uptrend filter).</w:t>
      </w:r>
      <w:r>
        <w:t xml:space="preserve"> </w:t>
      </w:r>
      <w:r>
        <w:t xml:space="preserve">2. 2-period RSI closes below 5.</w:t>
      </w:r>
      <w:r>
        <w:t xml:space="preserve"> </w:t>
      </w:r>
      <w:r>
        <w:t xml:space="preserve">3. Price closes within 0.5% of a prior swing-low support level that has been tested ≥2 times in the last 60 trading days.</w:t>
      </w:r>
      <w:r>
        <w:t xml:space="preserve"> </w:t>
      </w:r>
      <w:r>
        <w:t xml:space="preserve">4. Volume on the signal day is ≥1.2x the 20-day average volume.</w:t>
      </w:r>
    </w:p>
    <w:p>
      <w:pPr>
        <w:pStyle w:val="BodyText"/>
      </w:pPr>
      <w:r>
        <w:rPr>
          <w:bCs/>
          <w:b/>
        </w:rPr>
        <w:t xml:space="preserve">Exit:</w:t>
      </w:r>
      <w:r>
        <w:t xml:space="preserve"> </w:t>
      </w:r>
      <w:r>
        <w:t xml:space="preserve">- Take profit: close crosses back above the 5-day SMA, OR RSI-2 closes above 65 — whichever first.</w:t>
      </w:r>
      <w:r>
        <w:t xml:space="preserve"> </w:t>
      </w:r>
      <w:r>
        <w:t xml:space="preserve">- Stop loss: hard stop at 1.5x ATR(14) below entry.</w:t>
      </w:r>
      <w:r>
        <w:t xml:space="preserve"> </w:t>
      </w:r>
      <w:r>
        <w:t xml:space="preserve">- Time stop: exit after 6 trading days regardless.</w:t>
      </w:r>
    </w:p>
    <w:p>
      <w:pPr>
        <w:pStyle w:val="BodyText"/>
      </w:pPr>
      <w:r>
        <w:rPr>
          <w:bCs/>
          <w:b/>
        </w:rPr>
        <w:t xml:space="preserve">Why it’s selective:</w:t>
      </w:r>
      <w:r>
        <w:t xml:space="preserve"> </w:t>
      </w:r>
      <w:r>
        <w:t xml:space="preserve">Requires trend filter + oscillator extreme + level confluence + volume confirmation simultaneously — all four rarely align.</w:t>
      </w:r>
    </w:p>
    <w:p>
      <w:pPr>
        <w:pStyle w:val="SourceCode"/>
      </w:pPr>
      <w:r>
        <w:rPr>
          <w:rStyle w:val="VerbatimChar"/>
        </w:rPr>
        <w:t xml:space="preserve">if close &gt; SMA(200)</w:t>
      </w:r>
      <w:r>
        <w:br/>
      </w:r>
      <w:r>
        <w:rPr>
          <w:rStyle w:val="VerbatimChar"/>
        </w:rPr>
        <w:t xml:space="preserve">   and RSI(2) &lt; 5</w:t>
      </w:r>
      <w:r>
        <w:br/>
      </w:r>
      <w:r>
        <w:rPr>
          <w:rStyle w:val="VerbatimChar"/>
        </w:rPr>
        <w:t xml:space="preserve">   and abs(close - nearest_support_level) / close &lt; 0.005</w:t>
      </w:r>
      <w:r>
        <w:br/>
      </w:r>
      <w:r>
        <w:rPr>
          <w:rStyle w:val="VerbatimChar"/>
        </w:rPr>
        <w:t xml:space="preserve">   and support_level.touches_last_60d &gt;= 2</w:t>
      </w:r>
      <w:r>
        <w:br/>
      </w:r>
      <w:r>
        <w:rPr>
          <w:rStyle w:val="VerbatimChar"/>
        </w:rPr>
        <w:t xml:space="preserve">   and volume &gt; 1.2 * avg_volume_20d:</w:t>
      </w:r>
      <w:r>
        <w:br/>
      </w:r>
      <w:r>
        <w:rPr>
          <w:rStyle w:val="VerbatimChar"/>
        </w:rPr>
        <w:t xml:space="preserve">        enter_long()</w:t>
      </w:r>
    </w:p>
    <w:p>
      <w:r>
        <w:pict>
          <v:rect style="width:0;height:1.5pt" o:hralign="center" o:hrstd="t" o:hr="t"/>
        </w:pict>
      </w:r>
    </w:p>
    <w:bookmarkEnd w:id="21"/>
    <w:bookmarkStart w:id="22" w:name="Xa8162b088bb9f3fe5d7e3ba33194d252db534c6"/>
    <w:p>
      <w:pPr>
        <w:pStyle w:val="Heading2"/>
      </w:pPr>
      <w:r>
        <w:t xml:space="preserve">2. Strategy B — Triple-Timeframe Trend Confluence Breakout</w:t>
      </w:r>
    </w:p>
    <w:p>
      <w:pPr>
        <w:pStyle w:val="FirstParagraph"/>
      </w:pPr>
      <w:r>
        <w:rPr>
          <w:bCs/>
          <w:b/>
        </w:rPr>
        <w:t xml:space="preserve">Thesis:</w:t>
      </w:r>
      <w:r>
        <w:t xml:space="preserve"> </w:t>
      </w:r>
      <w:r>
        <w:t xml:space="preserve">Breakouts on a single timeframe fail often. Requiring agreement across three nested timeframes filters for breakouts backed by genuine institutional participation across horizons.</w:t>
      </w:r>
    </w:p>
    <w:p>
      <w:pPr>
        <w:pStyle w:val="BodyText"/>
      </w:pPr>
      <w:r>
        <w:rPr>
          <w:bCs/>
          <w:b/>
        </w:rPr>
        <w:t xml:space="preserve">Timeframes:</w:t>
      </w:r>
      <w:r>
        <w:t xml:space="preserve"> </w:t>
      </w:r>
      <w:r>
        <w:t xml:space="preserve">Daily (macro trend), 4H (structure), 1H (trigger).</w:t>
      </w:r>
    </w:p>
    <w:p>
      <w:pPr>
        <w:pStyle w:val="BodyText"/>
      </w:pPr>
      <w:r>
        <w:rPr>
          <w:bCs/>
          <w:b/>
        </w:rPr>
        <w:t xml:space="preserve">Entry (long example):</w:t>
      </w:r>
      <w:r>
        <w:t xml:space="preserve"> </w:t>
      </w:r>
      <w:r>
        <w:t xml:space="preserve">1. Daily: price above rising 50-day and 200-day SMA (both sloping up over last 10 days).</w:t>
      </w:r>
      <w:r>
        <w:t xml:space="preserve"> </w:t>
      </w:r>
      <w:r>
        <w:t xml:space="preserve">2. 4H: price breaks above a consolidation range that has lasted ≥15 bars (4H) with contracting ATR (current ATR(14) &lt; ATR(14) 20 bars ago).</w:t>
      </w:r>
      <w:r>
        <w:t xml:space="preserve"> </w:t>
      </w:r>
      <w:r>
        <w:t xml:space="preserve">3. 1H: breakout candle closes above range high with volume ≥1.5x the 20-bar 1H average.</w:t>
      </w:r>
      <w:r>
        <w:t xml:space="preserve"> </w:t>
      </w:r>
      <w:r>
        <w:t xml:space="preserve">4. No major scheduled macro event (earnings, Fed announcement) within the next 2 trading days for this ticker/sector.</w:t>
      </w:r>
    </w:p>
    <w:p>
      <w:pPr>
        <w:pStyle w:val="BodyText"/>
      </w:pPr>
      <w:r>
        <w:rPr>
          <w:bCs/>
          <w:b/>
        </w:rPr>
        <w:t xml:space="preserve">Exit:</w:t>
      </w:r>
      <w:r>
        <w:t xml:space="preserve"> </w:t>
      </w:r>
      <w:r>
        <w:t xml:space="preserve">- Trailing stop: Chandelier exit (ATR(22) x 3 from highest high since entry).</w:t>
      </w:r>
      <w:r>
        <w:t xml:space="preserve"> </w:t>
      </w:r>
      <w:r>
        <w:t xml:space="preserve">- Invalidation: close back inside the broken range on 4H closes the trade immediately.</w:t>
      </w:r>
    </w:p>
    <w:p>
      <w:pPr>
        <w:pStyle w:val="BodyText"/>
      </w:pPr>
      <w:r>
        <w:rPr>
          <w:bCs/>
          <w:b/>
        </w:rPr>
        <w:t xml:space="preserve">Why it’s selective:</w:t>
      </w:r>
      <w:r>
        <w:t xml:space="preserve"> </w:t>
      </w:r>
      <w:r>
        <w:t xml:space="preserve">Three-timeframe alignment plus volatility contraction plus event filter is a rare simultaneous condition by design.</w:t>
      </w:r>
    </w:p>
    <w:p>
      <w:pPr>
        <w:pStyle w:val="SourceCode"/>
      </w:pPr>
      <w:r>
        <w:rPr>
          <w:rStyle w:val="VerbatimChar"/>
        </w:rPr>
        <w:t xml:space="preserve">if daily.close &gt; SMA50 and daily.close &gt; SMA200 and SMA50.slope_10d &gt; 0</w:t>
      </w:r>
      <w:r>
        <w:br/>
      </w:r>
      <w:r>
        <w:rPr>
          <w:rStyle w:val="VerbatimChar"/>
        </w:rPr>
        <w:t xml:space="preserve">   and h4.range_bars &gt;= 15 and h4.ATR14 &lt; h4.ATR14_20bars_ago</w:t>
      </w:r>
      <w:r>
        <w:br/>
      </w:r>
      <w:r>
        <w:rPr>
          <w:rStyle w:val="VerbatimChar"/>
        </w:rPr>
        <w:t xml:space="preserve">   and h1.breakout_close &gt; h4.range_high</w:t>
      </w:r>
      <w:r>
        <w:br/>
      </w:r>
      <w:r>
        <w:rPr>
          <w:rStyle w:val="VerbatimChar"/>
        </w:rPr>
        <w:t xml:space="preserve">   and h1.volume &gt; 1.5 * h1.avg_volume_20</w:t>
      </w:r>
      <w:r>
        <w:br/>
      </w:r>
      <w:r>
        <w:rPr>
          <w:rStyle w:val="VerbatimChar"/>
        </w:rPr>
        <w:t xml:space="preserve">   and not upcoming_event(ticker, days=2):</w:t>
      </w:r>
      <w:r>
        <w:br/>
      </w:r>
      <w:r>
        <w:rPr>
          <w:rStyle w:val="VerbatimChar"/>
        </w:rPr>
        <w:t xml:space="preserve">        enter_long()</w:t>
      </w:r>
    </w:p>
    <w:p>
      <w:r>
        <w:pict>
          <v:rect style="width:0;height:1.5pt" o:hralign="center" o:hrstd="t" o:hr="t"/>
        </w:pict>
      </w:r>
    </w:p>
    <w:bookmarkEnd w:id="22"/>
    <w:bookmarkStart w:id="23" w:name="X772acee0d6634461011f3891024cfe84d5a345b"/>
    <w:p>
      <w:pPr>
        <w:pStyle w:val="Heading2"/>
      </w:pPr>
      <w:r>
        <w:t xml:space="preserve">3. Strategy C — Bollinger Band Climax Reversal with Volume Exhaustion</w:t>
      </w:r>
    </w:p>
    <w:p>
      <w:pPr>
        <w:pStyle w:val="FirstParagraph"/>
      </w:pPr>
      <w:r>
        <w:rPr>
          <w:bCs/>
          <w:b/>
        </w:rPr>
        <w:t xml:space="preserve">Thesis:</w:t>
      </w:r>
      <w:r>
        <w:t xml:space="preserve"> </w:t>
      </w:r>
      <w:r>
        <w:t xml:space="preserve">A single BB touch is common and low-edge. A touch accompanied by a volume/volatility</w:t>
      </w:r>
      <w:r>
        <w:t xml:space="preserve"> </w:t>
      </w:r>
      <w:r>
        <w:rPr>
          <w:iCs/>
          <w:i/>
        </w:rPr>
        <w:t xml:space="preserve">climax</w:t>
      </w:r>
      <w:r>
        <w:t xml:space="preserve"> </w:t>
      </w:r>
      <w:r>
        <w:t xml:space="preserve">(exhaustion) plus a reversal candle pattern is much rarer and marks genuine short-term capitulation.</w:t>
      </w:r>
    </w:p>
    <w:p>
      <w:pPr>
        <w:pStyle w:val="BodyText"/>
      </w:pPr>
      <w:r>
        <w:rPr>
          <w:bCs/>
          <w:b/>
        </w:rPr>
        <w:t xml:space="preserve">Timeframe:</w:t>
      </w:r>
      <w:r>
        <w:t xml:space="preserve"> </w:t>
      </w:r>
      <w:r>
        <w:t xml:space="preserve">Daily.</w:t>
      </w:r>
    </w:p>
    <w:p>
      <w:pPr>
        <w:pStyle w:val="BodyText"/>
      </w:pPr>
      <w:r>
        <w:rPr>
          <w:bCs/>
          <w:b/>
        </w:rPr>
        <w:t xml:space="preserve">Entry (long example):</w:t>
      </w:r>
      <w:r>
        <w:t xml:space="preserve"> </w:t>
      </w:r>
      <w:r>
        <w:t xml:space="preserve">1. Daily close outside the lower Bollinger Band (20, 2σ).</w:t>
      </w:r>
      <w:r>
        <w:t xml:space="preserve"> </w:t>
      </w:r>
      <w:r>
        <w:t xml:space="preserve">2. Volume on that day is in the top 5% of the trailing 100-day volume distribution (percentile filter, not fixed multiple).</w:t>
      </w:r>
      <w:r>
        <w:t xml:space="preserve"> </w:t>
      </w:r>
      <w:r>
        <w:t xml:space="preserve">3. Candle pattern on signal day is a recognized reversal pattern (hammer, bullish engulfing, or morning-star final bar).</w:t>
      </w:r>
      <w:r>
        <w:t xml:space="preserve"> </w:t>
      </w:r>
      <w:r>
        <w:t xml:space="preserve">4. The prior 3 days show accelerating downside (each day’s close lower than the last) — confirms genuine climax, not routine dip.</w:t>
      </w:r>
    </w:p>
    <w:p>
      <w:pPr>
        <w:pStyle w:val="BodyText"/>
      </w:pPr>
      <w:r>
        <w:rPr>
          <w:bCs/>
          <w:b/>
        </w:rPr>
        <w:t xml:space="preserve">Exit:</w:t>
      </w:r>
      <w:r>
        <w:t xml:space="preserve"> </w:t>
      </w:r>
      <w:r>
        <w:t xml:space="preserve">- Target: middle Bollinger Band (20-SMA).</w:t>
      </w:r>
      <w:r>
        <w:t xml:space="preserve"> </w:t>
      </w:r>
      <w:r>
        <w:t xml:space="preserve">- Stop: below the signal-day low minus 0.25x ATR(14).</w:t>
      </w:r>
      <w:r>
        <w:t xml:space="preserve"> </w:t>
      </w:r>
      <w:r>
        <w:t xml:space="preserve">- Time stop: 5 trading days.</w:t>
      </w:r>
    </w:p>
    <w:p>
      <w:pPr>
        <w:pStyle w:val="BodyText"/>
      </w:pPr>
      <w:r>
        <w:rPr>
          <w:bCs/>
          <w:b/>
        </w:rPr>
        <w:t xml:space="preserve">Why it’s selective:</w:t>
      </w:r>
      <w:r>
        <w:t xml:space="preserve"> </w:t>
      </w:r>
      <w:r>
        <w:t xml:space="preserve">Percentile-based volume filter + pattern recognition + multi-day acceleration context is intentionally rare — this is meant to catch capitulation bottoms, not routine pullbacks.</w:t>
      </w:r>
    </w:p>
    <w:p>
      <w:pPr>
        <w:pStyle w:val="SourceCode"/>
      </w:pPr>
      <w:r>
        <w:rPr>
          <w:rStyle w:val="VerbatimChar"/>
        </w:rPr>
        <w:t xml:space="preserve">if close &lt; lower_BB(20, 2)</w:t>
      </w:r>
      <w:r>
        <w:br/>
      </w:r>
      <w:r>
        <w:rPr>
          <w:rStyle w:val="VerbatimChar"/>
        </w:rPr>
        <w:t xml:space="preserve">   and volume_percentile_100d &gt;= 95</w:t>
      </w:r>
      <w:r>
        <w:br/>
      </w:r>
      <w:r>
        <w:rPr>
          <w:rStyle w:val="VerbatimChar"/>
        </w:rPr>
        <w:t xml:space="preserve">   and candle_pattern in [hammer, bullish_engulfing, morning_star_final]</w:t>
      </w:r>
      <w:r>
        <w:br/>
      </w:r>
      <w:r>
        <w:rPr>
          <w:rStyle w:val="VerbatimChar"/>
        </w:rPr>
        <w:t xml:space="preserve">   and closes[-3:] strictly_decreasing:</w:t>
      </w:r>
      <w:r>
        <w:br/>
      </w:r>
      <w:r>
        <w:rPr>
          <w:rStyle w:val="VerbatimChar"/>
        </w:rPr>
        <w:t xml:space="preserve">        enter_long()</w:t>
      </w:r>
    </w:p>
    <w:p>
      <w:r>
        <w:pict>
          <v:rect style="width:0;height:1.5pt" o:hralign="center" o:hrstd="t" o:hr="t"/>
        </w:pict>
      </w:r>
    </w:p>
    <w:bookmarkEnd w:id="23"/>
    <w:bookmarkStart w:id="24" w:name="Xc22275f7f93a205177f491310b76d0a27e70ec3"/>
    <w:p>
      <w:pPr>
        <w:pStyle w:val="Heading2"/>
      </w:pPr>
      <w:r>
        <w:t xml:space="preserve">4. Strategy D — Post-Earnings Volume-Confirmed Drift Continuation</w:t>
      </w:r>
    </w:p>
    <w:p>
      <w:pPr>
        <w:pStyle w:val="FirstParagraph"/>
      </w:pPr>
      <w:r>
        <w:rPr>
          <w:bCs/>
          <w:b/>
        </w:rPr>
        <w:t xml:space="preserve">Thesis:</w:t>
      </w:r>
      <w:r>
        <w:t xml:space="preserve"> </w:t>
      </w:r>
      <w:r>
        <w:t xml:space="preserve">Post-earnings announcement drift (PEAD) is a well-documented equity anomaly. Filtering for large surprises with immediate volume-backed follow-through further narrows to the highest-conviction cases.</w:t>
      </w:r>
    </w:p>
    <w:p>
      <w:pPr>
        <w:pStyle w:val="BodyText"/>
      </w:pPr>
      <w:r>
        <w:rPr>
          <w:bCs/>
          <w:b/>
        </w:rPr>
        <w:t xml:space="preserve">Timeframe:</w:t>
      </w:r>
      <w:r>
        <w:t xml:space="preserve"> </w:t>
      </w:r>
      <w:r>
        <w:t xml:space="preserve">Daily, event-triggered (only fires around earnings dates).</w:t>
      </w:r>
    </w:p>
    <w:p>
      <w:pPr>
        <w:pStyle w:val="BodyText"/>
      </w:pPr>
      <w:r>
        <w:rPr>
          <w:bCs/>
          <w:b/>
        </w:rPr>
        <w:t xml:space="preserve">Entry (long example):</w:t>
      </w:r>
      <w:r>
        <w:t xml:space="preserve"> </w:t>
      </w:r>
      <w:r>
        <w:t xml:space="preserve">1. Earnings release causes an overnight gap up of ≥3% at the open.</w:t>
      </w:r>
      <w:r>
        <w:t xml:space="preserve"> </w:t>
      </w:r>
      <w:r>
        <w:t xml:space="preserve">2. First 30 minutes of trading hold above the opening price (does not fade below open) — proxy: 1H close above open.</w:t>
      </w:r>
      <w:r>
        <w:t xml:space="preserve"> </w:t>
      </w:r>
      <w:r>
        <w:t xml:space="preserve">3. Full-day volume is ≥2x the 20-day average.</w:t>
      </w:r>
      <w:r>
        <w:t xml:space="preserve"> </w:t>
      </w:r>
      <w:r>
        <w:t xml:space="preserve">4. The stock closes in the top third of its day’s range (strong close, not a fade).</w:t>
      </w:r>
    </w:p>
    <w:p>
      <w:pPr>
        <w:pStyle w:val="BodyText"/>
      </w:pPr>
      <w:r>
        <w:rPr>
          <w:bCs/>
          <w:b/>
        </w:rPr>
        <w:t xml:space="preserve">Exit:</w:t>
      </w:r>
      <w:r>
        <w:t xml:space="preserve"> </w:t>
      </w:r>
      <w:r>
        <w:t xml:space="preserve">- Hold for a fixed post-earnings drift window: 10 trading days, OR</w:t>
      </w:r>
      <w:r>
        <w:t xml:space="preserve"> </w:t>
      </w:r>
      <w:r>
        <w:t xml:space="preserve">- Exit early if price closes back below the pre-earnings-day close (invalidation).</w:t>
      </w:r>
      <w:r>
        <w:t xml:space="preserve"> </w:t>
      </w:r>
      <w:r>
        <w:t xml:space="preserve">- No stop-loss tighter than 2x ATR(14) — this strategy needs room, as it’s a drift/swing hold, not a scalp.</w:t>
      </w:r>
    </w:p>
    <w:p>
      <w:pPr>
        <w:pStyle w:val="BodyText"/>
      </w:pPr>
      <w:r>
        <w:rPr>
          <w:bCs/>
          <w:b/>
        </w:rPr>
        <w:t xml:space="preserve">Why it’s selective:</w:t>
      </w:r>
      <w:r>
        <w:t xml:space="preserve"> </w:t>
      </w:r>
      <w:r>
        <w:t xml:space="preserve">Only fires ~4x per year per name (earnings season), and the gap+hold+volume+strong-close stack removes most</w:t>
      </w:r>
      <w:r>
        <w:t xml:space="preserve"> </w:t>
      </w:r>
      <w:r>
        <w:t xml:space="preserve">“</w:t>
      </w:r>
      <w:r>
        <w:t xml:space="preserve">gap and fade</w:t>
      </w:r>
      <w:r>
        <w:t xml:space="preserve">”</w:t>
      </w:r>
      <w:r>
        <w:t xml:space="preserve"> </w:t>
      </w:r>
      <w:r>
        <w:t xml:space="preserve">noise.</w:t>
      </w:r>
    </w:p>
    <w:p>
      <w:pPr>
        <w:pStyle w:val="SourceCode"/>
      </w:pPr>
      <w:r>
        <w:rPr>
          <w:rStyle w:val="VerbatimChar"/>
        </w:rPr>
        <w:t xml:space="preserve">if event == earnings_release</w:t>
      </w:r>
      <w:r>
        <w:br/>
      </w:r>
      <w:r>
        <w:rPr>
          <w:rStyle w:val="VerbatimChar"/>
        </w:rPr>
        <w:t xml:space="preserve">   and gap_pct &gt;= 0.03</w:t>
      </w:r>
      <w:r>
        <w:br/>
      </w:r>
      <w:r>
        <w:rPr>
          <w:rStyle w:val="VerbatimChar"/>
        </w:rPr>
        <w:t xml:space="preserve">   and h1_close &gt; day_open</w:t>
      </w:r>
      <w:r>
        <w:br/>
      </w:r>
      <w:r>
        <w:rPr>
          <w:rStyle w:val="VerbatimChar"/>
        </w:rPr>
        <w:t xml:space="preserve">   and day_volume &gt; 2 * avg_volume_20d</w:t>
      </w:r>
      <w:r>
        <w:br/>
      </w:r>
      <w:r>
        <w:rPr>
          <w:rStyle w:val="VerbatimChar"/>
        </w:rPr>
        <w:t xml:space="preserve">   and close_position_in_range &gt;= 0.67:</w:t>
      </w:r>
      <w:r>
        <w:br/>
      </w:r>
      <w:r>
        <w:rPr>
          <w:rStyle w:val="VerbatimChar"/>
        </w:rPr>
        <w:t xml:space="preserve">        enter_long(hold_days=10)</w:t>
      </w:r>
    </w:p>
    <w:p>
      <w:r>
        <w:pict>
          <v:rect style="width:0;height:1.5pt" o:hralign="center" o:hrstd="t" o:hr="t"/>
        </w:pict>
      </w:r>
    </w:p>
    <w:bookmarkEnd w:id="24"/>
    <w:bookmarkStart w:id="25" w:name="X95125eba8968f91c9604b270fa02ff945e8bb22"/>
    <w:p>
      <w:pPr>
        <w:pStyle w:val="Heading2"/>
      </w:pPr>
      <w:r>
        <w:t xml:space="preserve">5. Strategy E — Opening Range Gap-Fill (Statistical Gap Fade)</w:t>
      </w:r>
    </w:p>
    <w:p>
      <w:pPr>
        <w:pStyle w:val="FirstParagraph"/>
      </w:pPr>
      <w:r>
        <w:rPr>
          <w:bCs/>
          <w:b/>
        </w:rPr>
        <w:t xml:space="preserve">Thesis:</w:t>
      </w:r>
      <w:r>
        <w:t xml:space="preserve"> </w:t>
      </w:r>
      <w:r>
        <w:t xml:space="preserve">Small-to-moderate gaps on liquid index ETFs statistically fill intraday at a high rate; the edge disappears for large/exhaustion gaps (which tend to be information-driven, not noise-driven), so the range filter is critical.</w:t>
      </w:r>
    </w:p>
    <w:p>
      <w:pPr>
        <w:pStyle w:val="BodyText"/>
      </w:pPr>
      <w:r>
        <w:rPr>
          <w:bCs/>
          <w:b/>
        </w:rPr>
        <w:t xml:space="preserve">Timeframe:</w:t>
      </w:r>
      <w:r>
        <w:t xml:space="preserve"> </w:t>
      </w:r>
      <w:r>
        <w:t xml:space="preserve">Intraday (5-min or 15-min bars), applies mainly to broad index ETFs (e.g., SPY/QQQ-style liquid instruments).</w:t>
      </w:r>
    </w:p>
    <w:p>
      <w:pPr>
        <w:pStyle w:val="BodyText"/>
      </w:pPr>
      <w:r>
        <w:rPr>
          <w:bCs/>
          <w:b/>
        </w:rPr>
        <w:t xml:space="preserve">Entry (fade the gap — example for gap-up):</w:t>
      </w:r>
      <w:r>
        <w:t xml:space="preserve"> </w:t>
      </w:r>
      <w:r>
        <w:t xml:space="preserve">1. Opening gap is between +0.3% and +1.0% versus prior close (below this = noise, above this = often news-driven and won’t fill).</w:t>
      </w:r>
      <w:r>
        <w:t xml:space="preserve"> </w:t>
      </w:r>
      <w:r>
        <w:t xml:space="preserve">2. No scheduled macro data release (CPI, FOMC, NFP) on that morning.</w:t>
      </w:r>
      <w:r>
        <w:t xml:space="preserve"> </w:t>
      </w:r>
      <w:r>
        <w:t xml:space="preserve">3. First 15-minute candle after open is a doji or small-bodied candle (body &lt;30% of candle range) — signals indecision/no follow-through.</w:t>
      </w:r>
      <w:r>
        <w:t xml:space="preserve"> </w:t>
      </w:r>
      <w:r>
        <w:t xml:space="preserve">4. Enter short at the close of that first 15-min candle, targeting prior close.</w:t>
      </w:r>
    </w:p>
    <w:p>
      <w:pPr>
        <w:pStyle w:val="BodyText"/>
      </w:pPr>
      <w:r>
        <w:rPr>
          <w:bCs/>
          <w:b/>
        </w:rPr>
        <w:t xml:space="preserve">Exit:</w:t>
      </w:r>
      <w:r>
        <w:t xml:space="preserve"> </w:t>
      </w:r>
      <w:r>
        <w:t xml:space="preserve">- Target: prior day’s close (the</w:t>
      </w:r>
      <w:r>
        <w:t xml:space="preserve"> </w:t>
      </w:r>
      <w:r>
        <w:t xml:space="preserve">“</w:t>
      </w:r>
      <w:r>
        <w:t xml:space="preserve">gap fill</w:t>
      </w:r>
      <w:r>
        <w:t xml:space="preserve">”</w:t>
      </w:r>
      <w:r>
        <w:t xml:space="preserve">).</w:t>
      </w:r>
      <w:r>
        <w:t xml:space="preserve"> </w:t>
      </w:r>
      <w:r>
        <w:t xml:space="preserve">- Stop: high of the first 15-minute candle + small buffer (0.1x ATR of 5-min bars).</w:t>
      </w:r>
      <w:r>
        <w:t xml:space="preserve"> </w:t>
      </w:r>
      <w:r>
        <w:t xml:space="preserve">- Time stop: exit at end of day regardless (day trade only).</w:t>
      </w:r>
    </w:p>
    <w:p>
      <w:pPr>
        <w:pStyle w:val="BodyText"/>
      </w:pPr>
      <w:r>
        <w:rPr>
          <w:bCs/>
          <w:b/>
        </w:rPr>
        <w:t xml:space="preserve">Why it’s selective:</w:t>
      </w:r>
      <w:r>
        <w:t xml:space="preserve"> </w:t>
      </w:r>
      <w:r>
        <w:t xml:space="preserve">The gap-size band and the</w:t>
      </w:r>
      <w:r>
        <w:t xml:space="preserve"> </w:t>
      </w:r>
      <w:r>
        <w:t xml:space="preserve">“</w:t>
      </w:r>
      <w:r>
        <w:t xml:space="preserve">no macro event</w:t>
      </w:r>
      <w:r>
        <w:t xml:space="preserve">”</w:t>
      </w:r>
      <w:r>
        <w:t xml:space="preserve"> </w:t>
      </w:r>
      <w:r>
        <w:t xml:space="preserve">and the</w:t>
      </w:r>
      <w:r>
        <w:t xml:space="preserve"> </w:t>
      </w:r>
      <w:r>
        <w:t xml:space="preserve">“</w:t>
      </w:r>
      <w:r>
        <w:t xml:space="preserve">indecisive first candle</w:t>
      </w:r>
      <w:r>
        <w:t xml:space="preserve">”</w:t>
      </w:r>
      <w:r>
        <w:t xml:space="preserve"> </w:t>
      </w:r>
      <w:r>
        <w:t xml:space="preserve">filters together mean this fires only on a minority of gap days.</w:t>
      </w:r>
    </w:p>
    <w:p>
      <w:pPr>
        <w:pStyle w:val="SourceCode"/>
      </w:pPr>
      <w:r>
        <w:rPr>
          <w:rStyle w:val="VerbatimChar"/>
        </w:rPr>
        <w:t xml:space="preserve">if 0.003 &lt;= gap_pct &lt;= 0.01</w:t>
      </w:r>
      <w:r>
        <w:br/>
      </w:r>
      <w:r>
        <w:rPr>
          <w:rStyle w:val="VerbatimChar"/>
        </w:rPr>
        <w:t xml:space="preserve">   and not macro_event_today()</w:t>
      </w:r>
      <w:r>
        <w:br/>
      </w:r>
      <w:r>
        <w:rPr>
          <w:rStyle w:val="VerbatimChar"/>
        </w:rPr>
        <w:t xml:space="preserve">   and first_15m_candle.body_pct &lt; 0.30:</w:t>
      </w:r>
      <w:r>
        <w:br/>
      </w:r>
      <w:r>
        <w:rPr>
          <w:rStyle w:val="VerbatimChar"/>
        </w:rPr>
        <w:t xml:space="preserve">        enter_short(target=prior_close)</w:t>
      </w:r>
    </w:p>
    <w:p>
      <w:r>
        <w:pict>
          <v:rect style="width:0;height:1.5pt" o:hralign="center" o:hrstd="t" o:hr="t"/>
        </w:pict>
      </w:r>
    </w:p>
    <w:bookmarkEnd w:id="25"/>
    <w:bookmarkStart w:id="26" w:name="X0621628dcad30d798033ecfe82ae8a05b8071df"/>
    <w:p>
      <w:pPr>
        <w:pStyle w:val="Heading2"/>
      </w:pPr>
      <w:r>
        <w:t xml:space="preserve">6. Strategy F — Turnaround Tuesday (Day-of-Week Seasonal Mean Reversion)</w:t>
      </w:r>
    </w:p>
    <w:p>
      <w:pPr>
        <w:pStyle w:val="FirstParagraph"/>
      </w:pPr>
      <w:r>
        <w:rPr>
          <w:bCs/>
          <w:b/>
        </w:rPr>
        <w:t xml:space="preserve">Thesis:</w:t>
      </w:r>
      <w:r>
        <w:t xml:space="preserve"> </w:t>
      </w:r>
      <w:r>
        <w:t xml:space="preserve">This is a well-documented day-of-week seasonality effect: broad-market weakness on Monday has historically tended to reverse into strength on Tuesday. The mechanism is behavioral/flow-based —</w:t>
      </w:r>
      <w:r>
        <w:t xml:space="preserve"> </w:t>
      </w:r>
      <w:r>
        <w:t xml:space="preserve">position closing and profit-taking by institutions ahead of the weekend, followed by retail selling on Monday, and institutional re-entry on Tuesday</w:t>
      </w:r>
      <w:r>
        <w:t xml:space="preserve"> </w:t>
      </w:r>
      <w:r>
        <w:t xml:space="preserve">— rather than a technical pattern, so it composes well as an additional, largely uncorrelated filter alongside Strategies A–E.</w:t>
      </w:r>
    </w:p>
    <w:p>
      <w:pPr>
        <w:pStyle w:val="BodyText"/>
      </w:pPr>
      <w:r>
        <w:rPr>
          <w:bCs/>
          <w:b/>
        </w:rPr>
        <w:t xml:space="preserve">Timeframe:</w:t>
      </w:r>
      <w:r>
        <w:t xml:space="preserve"> </w:t>
      </w:r>
      <w:r>
        <w:t xml:space="preserve">Daily. Applies best to broad, highly liquid index ETFs (e.g., SPY-style instruments) rather than single names, since it’s an index-level flow effect.</w:t>
      </w:r>
    </w:p>
    <w:p>
      <w:pPr>
        <w:pStyle w:val="BodyText"/>
      </w:pPr>
      <w:r>
        <w:rPr>
          <w:bCs/>
          <w:b/>
        </w:rPr>
        <w:t xml:space="preserve">Entry (core rule, long only):</w:t>
      </w:r>
      <w:r>
        <w:t xml:space="preserve"> </w:t>
      </w:r>
      <w:r>
        <w:t xml:space="preserve">1. Today is Monday.</w:t>
      </w:r>
      <w:r>
        <w:t xml:space="preserve"> </w:t>
      </w:r>
      <w:r>
        <w:t xml:space="preserve">2. Monday’s close is at least 1% below the prior Friday’s close (weak-Monday filter — this magnitude threshold is what separates a tradeable signal from noise; smaller dips have shown materially weaker/inconsistent edge in published tests).</w:t>
      </w:r>
      <w:r>
        <w:t xml:space="preserve"> </w:t>
      </w:r>
      <w:r>
        <w:t xml:space="preserve">3. If 1–2 are true, enter long at Monday’s close.</w:t>
      </w:r>
    </w:p>
    <w:p>
      <w:pPr>
        <w:pStyle w:val="BodyText"/>
      </w:pPr>
      <w:r>
        <w:rPr>
          <w:bCs/>
          <w:b/>
        </w:rPr>
        <w:t xml:space="preserve">Optional stricter variant (recommended over the core rule for selectivity):</w:t>
      </w:r>
      <w:r>
        <w:t xml:space="preserve"> </w:t>
      </w:r>
      <w:r>
        <w:t xml:space="preserve">- Add an Internal Bar Strength (IBS) filter: IBS = (close − low) / (high − low) for Monday’s bar must be below 0.2 (i.e., Monday closed near its low, reinforcing genuine intraday weakness rather than a weak close after a strong day).</w:t>
      </w:r>
      <w:r>
        <w:t xml:space="preserve"> </w:t>
      </w:r>
      <w:r>
        <w:t xml:space="preserve">- Add a trend filter: only take the trade if price is above its 200-day SMA, to avoid fading Mondays that are the start of a genuine bearish trend rather than a one-day flush.</w:t>
      </w:r>
    </w:p>
    <w:p>
      <w:pPr>
        <w:pStyle w:val="BodyText"/>
      </w:pPr>
      <w:r>
        <w:rPr>
          <w:bCs/>
          <w:b/>
        </w:rPr>
        <w:t xml:space="preserve">Exit:</w:t>
      </w:r>
      <w:r>
        <w:t xml:space="preserve"> </w:t>
      </w:r>
      <w:r>
        <w:t xml:space="preserve">- Base version: exit at Tuesday’s close (single-day hold).</w:t>
      </w:r>
      <w:r>
        <w:t xml:space="preserve"> </w:t>
      </w:r>
      <w:r>
        <w:t xml:space="preserve">- Extended-hold variant: some published variations hold through Friday’s close instead of exiting Tuesday, trading off a longer holding period for a different (and separately backtestable) return/drawdown profile — treat this as a distinct config, not a default.</w:t>
      </w:r>
      <w:r>
        <w:t xml:space="preserve"> </w:t>
      </w:r>
      <w:r>
        <w:t xml:space="preserve">- Risk control: add a hard stop (e.g., 2% below entry) since the published base version often has no embedded stop.</w:t>
      </w:r>
    </w:p>
    <w:p>
      <w:pPr>
        <w:pStyle w:val="BodyText"/>
      </w:pPr>
      <w:r>
        <w:rPr>
          <w:bCs/>
          <w:b/>
        </w:rPr>
        <w:t xml:space="preserve">Why it’s selective:</w:t>
      </w:r>
      <w:r>
        <w:t xml:space="preserve"> </w:t>
      </w:r>
      <w:r>
        <w:t xml:space="preserve">Firing only requires a specific day of week AND a magnitude-filtered weak close, so it naturally trades once a week at most, and less often once the IBS/trend filters are added. This is one of the more extensively documented seasonal anomalies (tested on SPY-equivalents back to the early 1980s/1993 depending on source), but it should still be re-validated on your own data per Section 7 — published edges on well-known calendar anomalies tend to compress over time as more participants trade them.</w:t>
      </w:r>
    </w:p>
    <w:p>
      <w:pPr>
        <w:pStyle w:val="SourceCode"/>
      </w:pPr>
      <w:r>
        <w:rPr>
          <w:rStyle w:val="VerbatimChar"/>
        </w:rPr>
        <w:t xml:space="preserve">if day_of_week == "Monday"</w:t>
      </w:r>
      <w:r>
        <w:br/>
      </w:r>
      <w:r>
        <w:rPr>
          <w:rStyle w:val="VerbatimChar"/>
        </w:rPr>
        <w:t xml:space="preserve">   and close &lt;= prior_friday_close * 0.99</w:t>
      </w:r>
      <w:r>
        <w:br/>
      </w:r>
      <w:r>
        <w:rPr>
          <w:rStyle w:val="VerbatimChar"/>
        </w:rPr>
        <w:t xml:space="preserve">   and IBS(today) &lt; 0.2                       # optional stricter filter</w:t>
      </w:r>
      <w:r>
        <w:br/>
      </w:r>
      <w:r>
        <w:rPr>
          <w:rStyle w:val="VerbatimChar"/>
        </w:rPr>
        <w:t xml:space="preserve">   and close &gt; SMA(200):                       # optional trend filter</w:t>
      </w:r>
      <w:r>
        <w:br/>
      </w:r>
      <w:r>
        <w:rPr>
          <w:rStyle w:val="VerbatimChar"/>
        </w:rPr>
        <w:t xml:space="preserve">        enter_long(at="Monday_close")</w:t>
      </w:r>
      <w:r>
        <w:br/>
      </w:r>
      <w:r>
        <w:br/>
      </w:r>
      <w:r>
        <w:rPr>
          <w:rStyle w:val="VerbatimChar"/>
        </w:rPr>
        <w:t xml:space="preserve"># exit</w:t>
      </w:r>
      <w:r>
        <w:br/>
      </w:r>
      <w:r>
        <w:rPr>
          <w:rStyle w:val="VerbatimChar"/>
        </w:rPr>
        <w:t xml:space="preserve">if day_of_week == "Tuesday":</w:t>
      </w:r>
      <w:r>
        <w:br/>
      </w:r>
      <w:r>
        <w:rPr>
          <w:rStyle w:val="VerbatimChar"/>
        </w:rPr>
        <w:t xml:space="preserve">    exit_long(at="Tuesday_close")</w:t>
      </w:r>
    </w:p>
    <w:p>
      <w:pPr>
        <w:pStyle w:val="FirstParagraph"/>
      </w:pPr>
      <w:r>
        <w:rPr>
          <w:bCs/>
          <w:b/>
        </w:rPr>
        <w:t xml:space="preserve">Implementation note:</w:t>
      </w:r>
      <w:r>
        <w:t xml:space="preserve"> </w:t>
      </w:r>
      <w:r>
        <w:t xml:space="preserve">Unlike Strategies A–E, this is a calendar-driven strategy with no technical trigger beyond the day-of-week check — implement it as a scheduled rule (fires only pre-close on Mondays) rather than a continuously-evaluated signal, to keep it cleanly separated from Strategies A–E in logs and the signal engine.</w:t>
      </w:r>
    </w:p>
    <w:p>
      <w:r>
        <w:pict>
          <v:rect style="width:0;height:1.5pt" o:hralign="center" o:hrstd="t" o:hr="t"/>
        </w:pict>
      </w:r>
    </w:p>
    <w:bookmarkEnd w:id="26"/>
    <w:bookmarkStart w:id="27" w:name="Xdfc591ddbe8b9860bd3f80fed990e87d94e554a"/>
    <w:p>
      <w:pPr>
        <w:pStyle w:val="Heading2"/>
      </w:pPr>
      <w:r>
        <w:t xml:space="preserve">7. Cross-Strategy Risk Management (applies to all six)</w:t>
      </w:r>
    </w:p>
    <w:p>
      <w:pPr>
        <w:numPr>
          <w:ilvl w:val="0"/>
          <w:numId w:val="1001"/>
        </w:numPr>
        <w:pStyle w:val="Compact"/>
      </w:pPr>
      <w:r>
        <w:rPr>
          <w:bCs/>
          <w:b/>
        </w:rPr>
        <w:t xml:space="preserve">Position sizing:</w:t>
      </w:r>
      <w:r>
        <w:t xml:space="preserve"> </w:t>
      </w:r>
      <w:r>
        <w:t xml:space="preserve">Risk a fixed, small percentage of account equity per trade (e.g., 0.5–1%), sized from entry-to-stop distance — not a fixed share count.</w:t>
      </w:r>
    </w:p>
    <w:p>
      <w:pPr>
        <w:numPr>
          <w:ilvl w:val="0"/>
          <w:numId w:val="1001"/>
        </w:numPr>
        <w:pStyle w:val="Compact"/>
      </w:pPr>
      <w:r>
        <w:rPr>
          <w:bCs/>
          <w:b/>
        </w:rPr>
        <w:t xml:space="preserve">Max concurrent positions per strategy:</w:t>
      </w:r>
      <w:r>
        <w:t xml:space="preserve"> </w:t>
      </w:r>
      <w:r>
        <w:t xml:space="preserve">cap to avoid correlated exposure (e.g., max 3 open positions per strategy at once).</w:t>
      </w:r>
    </w:p>
    <w:p>
      <w:pPr>
        <w:numPr>
          <w:ilvl w:val="0"/>
          <w:numId w:val="1001"/>
        </w:numPr>
        <w:pStyle w:val="Compact"/>
      </w:pPr>
      <w:r>
        <w:rPr>
          <w:bCs/>
          <w:b/>
        </w:rPr>
        <w:t xml:space="preserve">Correlation check:</w:t>
      </w:r>
      <w:r>
        <w:t xml:space="preserve"> </w:t>
      </w:r>
      <w:r>
        <w:t xml:space="preserve">skip new entries that are highly correlated (same sector/index) with existing open positions.</w:t>
      </w:r>
    </w:p>
    <w:p>
      <w:pPr>
        <w:numPr>
          <w:ilvl w:val="0"/>
          <w:numId w:val="1001"/>
        </w:numPr>
        <w:pStyle w:val="Compact"/>
      </w:pPr>
      <w:r>
        <w:rPr>
          <w:bCs/>
          <w:b/>
        </w:rPr>
        <w:t xml:space="preserve">Circuit breaker:</w:t>
      </w:r>
      <w:r>
        <w:t xml:space="preserve"> </w:t>
      </w:r>
      <w:r>
        <w:t xml:space="preserve">if a strategy hits N consecutive losses (e.g., 4) or a drawdown threshold (e.g., -5% of allocated sub-capital), auto-pause that strategy and flag for manual review.</w:t>
      </w:r>
    </w:p>
    <w:p>
      <w:pPr>
        <w:numPr>
          <w:ilvl w:val="0"/>
          <w:numId w:val="1001"/>
        </w:numPr>
        <w:pStyle w:val="Compact"/>
      </w:pPr>
      <w:r>
        <w:rPr>
          <w:bCs/>
          <w:b/>
        </w:rPr>
        <w:t xml:space="preserve">Data quality gate:</w:t>
      </w:r>
      <w:r>
        <w:t xml:space="preserve"> </w:t>
      </w:r>
      <w:r>
        <w:t xml:space="preserve">no entries on days with missing/stale price data, halted stocks, or extreme illiquidity (spread &gt; X% of price).</w:t>
      </w:r>
    </w:p>
    <w:p>
      <w:pPr>
        <w:numPr>
          <w:ilvl w:val="0"/>
          <w:numId w:val="1001"/>
        </w:numPr>
        <w:pStyle w:val="Compact"/>
      </w:pPr>
      <w:r>
        <w:rPr>
          <w:bCs/>
          <w:b/>
        </w:rPr>
        <w:t xml:space="preserve">All</w:t>
      </w:r>
      <w:r>
        <w:rPr>
          <w:bCs/>
          <w:b/>
        </w:rPr>
        <w:t xml:space="preserve"> </w:t>
      </w:r>
      <w:r>
        <w:rPr>
          <w:bCs/>
          <w:b/>
        </w:rPr>
        <w:t xml:space="preserve">“</w:t>
      </w:r>
      <w:r>
        <w:rPr>
          <w:bCs/>
          <w:b/>
        </w:rPr>
        <w:t xml:space="preserve">top 5%</w:t>
      </w:r>
      <w:r>
        <w:rPr>
          <w:bCs/>
          <w:b/>
        </w:rPr>
        <w:t xml:space="preserve">”</w:t>
      </w:r>
      <w:r>
        <w:rPr>
          <w:bCs/>
          <w:b/>
        </w:rPr>
        <w:t xml:space="preserve">,</w:t>
      </w:r>
      <w:r>
        <w:rPr>
          <w:bCs/>
          <w:b/>
        </w:rPr>
        <w:t xml:space="preserve"> </w:t>
      </w:r>
      <w:r>
        <w:rPr>
          <w:bCs/>
          <w:b/>
        </w:rPr>
        <w:t xml:space="preserve">“</w:t>
      </w:r>
      <w:r>
        <w:rPr>
          <w:bCs/>
          <w:b/>
        </w:rPr>
        <w:t xml:space="preserve">1.5x average</w:t>
      </w:r>
      <w:r>
        <w:rPr>
          <w:bCs/>
          <w:b/>
        </w:rPr>
        <w:t xml:space="preserve">”</w:t>
      </w:r>
      <w:r>
        <w:rPr>
          <w:bCs/>
          <w:b/>
        </w:rPr>
        <w:t xml:space="preserve">, etc. thresholds are starting parameters</w:t>
      </w:r>
      <w:r>
        <w:t xml:space="preserve"> </w:t>
      </w:r>
      <w:r>
        <w:t xml:space="preserve">— they should be tunable config values, not hardcoded, so the team can walk-forward optimize per instrument.</w:t>
      </w:r>
    </w:p>
    <w:p>
      <w:r>
        <w:pict>
          <v:rect style="width:0;height:1.5pt" o:hralign="center" o:hrstd="t" o:hr="t"/>
        </w:pict>
      </w:r>
    </w:p>
    <w:bookmarkEnd w:id="27"/>
    <w:bookmarkStart w:id="28" w:name="Xdb0be97ed07adb1040c6c811ad5d0a619f3e6db"/>
    <w:p>
      <w:pPr>
        <w:pStyle w:val="Heading2"/>
      </w:pPr>
      <w:r>
        <w:t xml:space="preserve">8. Required Backtesting Methodology (must be run before any real numbers are trusted)</w:t>
      </w:r>
    </w:p>
    <w:p>
      <w:pPr>
        <w:numPr>
          <w:ilvl w:val="0"/>
          <w:numId w:val="1002"/>
        </w:numPr>
        <w:pStyle w:val="Compact"/>
      </w:pPr>
      <w:r>
        <w:rPr>
          <w:bCs/>
          <w:b/>
        </w:rPr>
        <w:t xml:space="preserve">Data:</w:t>
      </w:r>
      <w:r>
        <w:t xml:space="preserve"> </w:t>
      </w:r>
      <w:r>
        <w:t xml:space="preserve">Use point-in-time, survivorship-bias-free data (delisted stocks included) for the full test universe. Adjust for splits/dividends.</w:t>
      </w:r>
    </w:p>
    <w:p>
      <w:pPr>
        <w:numPr>
          <w:ilvl w:val="0"/>
          <w:numId w:val="1002"/>
        </w:numPr>
        <w:pStyle w:val="Compact"/>
      </w:pPr>
      <w:r>
        <w:rPr>
          <w:bCs/>
          <w:b/>
        </w:rPr>
        <w:t xml:space="preserve">Costs:</w:t>
      </w:r>
      <w:r>
        <w:t xml:space="preserve"> </w:t>
      </w:r>
      <w:r>
        <w:t xml:space="preserve">Include realistic commissions, slippage (model as a function of ATR or bid-ask spread, not a flat number), and borrow cost for shorts.</w:t>
      </w:r>
    </w:p>
    <w:p>
      <w:pPr>
        <w:numPr>
          <w:ilvl w:val="0"/>
          <w:numId w:val="1002"/>
        </w:numPr>
        <w:pStyle w:val="Compact"/>
      </w:pPr>
      <w:r>
        <w:rPr>
          <w:bCs/>
          <w:b/>
        </w:rPr>
        <w:t xml:space="preserve">Sample period:</w:t>
      </w:r>
      <w:r>
        <w:t xml:space="preserve"> </w:t>
      </w:r>
      <w:r>
        <w:t xml:space="preserve">Test across at least one bull regime, one bear/correction regime, and one sideways/chop regime — not just the last bull market.</w:t>
      </w:r>
    </w:p>
    <w:p>
      <w:pPr>
        <w:numPr>
          <w:ilvl w:val="0"/>
          <w:numId w:val="1002"/>
        </w:numPr>
        <w:pStyle w:val="Compact"/>
      </w:pPr>
      <w:r>
        <w:rPr>
          <w:bCs/>
          <w:b/>
        </w:rPr>
        <w:t xml:space="preserve">Out-of-sample validation:</w:t>
      </w:r>
      <w:r>
        <w:t xml:space="preserve"> </w:t>
      </w:r>
      <w:r>
        <w:t xml:space="preserve">Split into in-sample (parameter selection) and out-of-sample (validation) periods, or use walk-forward optimization. Never report only in-sample results.</w:t>
      </w:r>
    </w:p>
    <w:p>
      <w:pPr>
        <w:numPr>
          <w:ilvl w:val="0"/>
          <w:numId w:val="1002"/>
        </w:numPr>
        <w:pStyle w:val="Compact"/>
      </w:pPr>
      <w:r>
        <w:rPr>
          <w:bCs/>
          <w:b/>
        </w:rPr>
        <w:t xml:space="preserve">Metrics to capture per strategy:</w:t>
      </w:r>
    </w:p>
    <w:p>
      <w:pPr>
        <w:numPr>
          <w:ilvl w:val="1"/>
          <w:numId w:val="1003"/>
        </w:numPr>
        <w:pStyle w:val="Compact"/>
      </w:pPr>
      <w:r>
        <w:t xml:space="preserve">Number of signals fired (frequency) over the test period</w:t>
      </w:r>
    </w:p>
    <w:p>
      <w:pPr>
        <w:numPr>
          <w:ilvl w:val="1"/>
          <w:numId w:val="1003"/>
        </w:numPr>
        <w:pStyle w:val="Compact"/>
      </w:pPr>
      <w:r>
        <w:t xml:space="preserve">Win rate AND average win size vs average loss size (expectancy, not just win %)</w:t>
      </w:r>
    </w:p>
    <w:p>
      <w:pPr>
        <w:numPr>
          <w:ilvl w:val="1"/>
          <w:numId w:val="1003"/>
        </w:numPr>
        <w:pStyle w:val="Compact"/>
      </w:pPr>
      <w:r>
        <w:t xml:space="preserve">Max drawdown, max consecutive losses</w:t>
      </w:r>
    </w:p>
    <w:p>
      <w:pPr>
        <w:numPr>
          <w:ilvl w:val="1"/>
          <w:numId w:val="1003"/>
        </w:numPr>
        <w:pStyle w:val="Compact"/>
      </w:pPr>
      <w:r>
        <w:t xml:space="preserve">Sharpe/Sortino ratio net of costs</w:t>
      </w:r>
    </w:p>
    <w:p>
      <w:pPr>
        <w:numPr>
          <w:ilvl w:val="1"/>
          <w:numId w:val="1003"/>
        </w:numPr>
        <w:pStyle w:val="Compact"/>
      </w:pPr>
      <w:r>
        <w:t xml:space="preserve">Sensitivity analysis: how results change if key thresholds shift ±20%</w:t>
      </w:r>
    </w:p>
    <w:p>
      <w:pPr>
        <w:numPr>
          <w:ilvl w:val="0"/>
          <w:numId w:val="1002"/>
        </w:numPr>
        <w:pStyle w:val="Compact"/>
      </w:pPr>
      <w:r>
        <w:rPr>
          <w:bCs/>
          <w:b/>
        </w:rPr>
        <w:t xml:space="preserve">Paper trading:</w:t>
      </w:r>
      <w:r>
        <w:t xml:space="preserve"> </w:t>
      </w:r>
      <w:r>
        <w:t xml:space="preserve">Run live paper trading for a minimum period (e.g., 4–8 weeks) before committing real capital, to catch execution/data issues backtests can’t see.</w:t>
      </w:r>
    </w:p>
    <w:p>
      <w:r>
        <w:pict>
          <v:rect style="width:0;height:1.5pt" o:hralign="center" o:hrstd="t" o:hr="t"/>
        </w:pict>
      </w:r>
    </w:p>
    <w:bookmarkEnd w:id="28"/>
    <w:bookmarkStart w:id="29" w:name="Xbada2f2f831b337ec9a4434920970601dea2e8f"/>
    <w:p>
      <w:pPr>
        <w:pStyle w:val="Heading2"/>
      </w:pPr>
      <w:r>
        <w:t xml:space="preserve">9. Results Table (to be filled in by dev team after running Section 8)</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Strategy</w:t>
            </w:r>
          </w:p>
        </w:tc>
        <w:tc>
          <w:tcPr/>
          <w:p>
            <w:pPr>
              <w:pStyle w:val="Compact"/>
              <w:jc w:val="left"/>
            </w:pPr>
            <w:r>
              <w:t xml:space="preserve">Signals/Year (test period)</w:t>
            </w:r>
          </w:p>
        </w:tc>
        <w:tc>
          <w:tcPr/>
          <w:p>
            <w:pPr>
              <w:pStyle w:val="Compact"/>
              <w:jc w:val="left"/>
            </w:pPr>
            <w:r>
              <w:t xml:space="preserve">Win Rate</w:t>
            </w:r>
          </w:p>
        </w:tc>
        <w:tc>
          <w:tcPr/>
          <w:p>
            <w:pPr>
              <w:pStyle w:val="Compact"/>
              <w:jc w:val="left"/>
            </w:pPr>
            <w:r>
              <w:t xml:space="preserve">Avg Win</w:t>
            </w:r>
          </w:p>
        </w:tc>
        <w:tc>
          <w:tcPr/>
          <w:p>
            <w:pPr>
              <w:pStyle w:val="Compact"/>
              <w:jc w:val="left"/>
            </w:pPr>
            <w:r>
              <w:t xml:space="preserve">Avg Loss</w:t>
            </w:r>
          </w:p>
        </w:tc>
        <w:tc>
          <w:tcPr/>
          <w:p>
            <w:pPr>
              <w:pStyle w:val="Compact"/>
              <w:jc w:val="left"/>
            </w:pPr>
            <w:r>
              <w:t xml:space="preserve">Expectancy</w:t>
            </w:r>
          </w:p>
        </w:tc>
        <w:tc>
          <w:tcPr/>
          <w:p>
            <w:pPr>
              <w:pStyle w:val="Compact"/>
              <w:jc w:val="left"/>
            </w:pPr>
            <w:r>
              <w:t xml:space="preserve">Max Drawdown</w:t>
            </w:r>
          </w:p>
        </w:tc>
        <w:tc>
          <w:tcPr/>
          <w:p>
            <w:pPr>
              <w:pStyle w:val="Compact"/>
              <w:jc w:val="left"/>
            </w:pPr>
            <w:r>
              <w:t xml:space="preserve">Notes</w:t>
            </w:r>
          </w:p>
        </w:tc>
      </w:tr>
      <w:tr>
        <w:tc>
          <w:tcPr/>
          <w:p>
            <w:pPr>
              <w:pStyle w:val="Compact"/>
              <w:jc w:val="left"/>
            </w:pPr>
            <w:r>
              <w:t xml:space="preserve">A — RSI-2 Mean Reversion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 — Triple-Timeframe Breakout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 — BB Climax Reversal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 — Post-Earnings Drift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 — Gap-Fill Fade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 — Turnaround Tuesday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9"/>
    <w:bookmarkStart w:id="30" w:name="implementation-notes-for-dev-team"/>
    <w:p>
      <w:pPr>
        <w:pStyle w:val="Heading2"/>
      </w:pPr>
      <w:r>
        <w:t xml:space="preserve">10. Implementation Notes for Dev Team</w:t>
      </w:r>
    </w:p>
    <w:p>
      <w:pPr>
        <w:numPr>
          <w:ilvl w:val="0"/>
          <w:numId w:val="1004"/>
        </w:numPr>
        <w:pStyle w:val="Compact"/>
      </w:pPr>
      <w:r>
        <w:t xml:space="preserve">Each strategy’s thresholds (RSI levels, ATR multiples, volume percentiles, gap % bands) should live in a config file, not hardcoded — enables walk-forward re-tuning per ticker/sector.</w:t>
      </w:r>
    </w:p>
    <w:p>
      <w:pPr>
        <w:numPr>
          <w:ilvl w:val="0"/>
          <w:numId w:val="1004"/>
        </w:numPr>
        <w:pStyle w:val="Compact"/>
      </w:pPr>
      <w:r>
        <w:t xml:space="preserve">Log every signal that is</w:t>
      </w:r>
      <w:r>
        <w:t xml:space="preserve"> </w:t>
      </w:r>
      <w:r>
        <w:rPr>
          <w:iCs/>
          <w:i/>
        </w:rPr>
        <w:t xml:space="preserve">evaluated</w:t>
      </w:r>
      <w:r>
        <w:t xml:space="preserve">, not just ones that fire — needed later to check whether filters are too strict/loose.</w:t>
      </w:r>
    </w:p>
    <w:p>
      <w:pPr>
        <w:numPr>
          <w:ilvl w:val="0"/>
          <w:numId w:val="1004"/>
        </w:numPr>
        <w:pStyle w:val="Compact"/>
      </w:pPr>
      <w:r>
        <w:t xml:space="preserve">Strategies B and D are event/regime-dependent (breakouts, earnings) — build in a calendar/event-data dependency (earnings dates, macro release calendar) as a first-class input, not an afterthought.</w:t>
      </w:r>
    </w:p>
    <w:p>
      <w:pPr>
        <w:numPr>
          <w:ilvl w:val="0"/>
          <w:numId w:val="1004"/>
        </w:numPr>
        <w:pStyle w:val="Compact"/>
      </w:pPr>
      <w:r>
        <w:t xml:space="preserve">Strategy E is intraday and liquidity-sensitive — restrict initial deployment to a short list of highly liquid, tight-spread ETFs before expanding.</w:t>
      </w:r>
    </w:p>
    <w:p>
      <w:pPr>
        <w:numPr>
          <w:ilvl w:val="0"/>
          <w:numId w:val="1004"/>
        </w:numPr>
        <w:pStyle w:val="Compact"/>
      </w:pPr>
      <w:r>
        <w:t xml:space="preserve">Recommend a shared</w:t>
      </w:r>
      <w:r>
        <w:t xml:space="preserve"> </w:t>
      </w:r>
      <w:r>
        <w:t xml:space="preserve">“</w:t>
      </w:r>
      <w:r>
        <w:t xml:space="preserve">signal engine</w:t>
      </w:r>
      <w:r>
        <w:t xml:space="preserve">”</w:t>
      </w:r>
      <w:r>
        <w:t xml:space="preserve"> </w:t>
      </w:r>
      <w:r>
        <w:t xml:space="preserve">module with pluggable filter functions (trend filter, volume filter, pattern filter, event filter) so all six strategies compose from reusable, independently-testable building blocks.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2026-07-09T22:40:08Z</dcterms:created>
  <dcterms:modified xsi:type="dcterms:W3CDTF">2026-07-09T22:40:08Z</dcterms:modified>
</cp:coreProperties>
</file>

<file path=docProps/custom.xml><?xml version="1.0" encoding="utf-8"?>
<Properties xmlns="http://schemas.openxmlformats.org/officeDocument/2006/custom-properties" xmlns:vt="http://schemas.openxmlformats.org/officeDocument/2006/docPropsVTypes"/>
</file>