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1B3A5C" w:val="clear"/>
            <w:tcMar>
              <w:top w:type="dxa" w:w="240"/>
              <w:left w:type="dxa" w:w="200"/>
              <w:bottom w:type="dxa" w:w="240"/>
              <w:right w:type="dxa" w:w="200"/>
            </w:tcMar>
          </w:tcPr>
          <w:p>
            <w:pPr>
              <w:jc w:val="center"/>
            </w:pPr>
            <w:r>
              <w:rPr>
                <w:rFonts w:ascii="Times New Roman" w:cs="Times New Roman" w:eastAsia="Times New Roman" w:hAnsi="Times New Roman"/>
                <w:b/>
                <w:bCs/>
                <w:color w:val="FFFFFF"/>
                <w:sz w:val="48"/>
                <w:szCs w:val="48"/>
              </w:rPr>
              <w:t xml:space="preserve">CONTRATO DE COMPRA</w:t>
            </w:r>
          </w:p>
          <w:p>
            <w:pPr>
              <w:jc w:val="center"/>
            </w:pPr>
            <w:r>
              <w:rPr>
                <w:rFonts w:ascii="Times New Roman" w:cs="Times New Roman" w:eastAsia="Times New Roman" w:hAnsi="Times New Roman"/>
                <w:b/>
                <w:bCs/>
                <w:color w:val="FFFFFF"/>
                <w:sz w:val="48"/>
                <w:szCs w:val="48"/>
              </w:rPr>
              <w:t xml:space="preserve">E VENDA DE IMÓVEL</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180" w:before="100" w:line="276"/>
        <w:jc w:val="center"/>
      </w:pPr>
      <w:r>
        <w:rPr>
          <w:rFonts w:ascii="Times New Roman" w:cs="Times New Roman" w:eastAsia="Times New Roman" w:hAnsi="Times New Roman"/>
          <w:b/>
          <w:bCs/>
          <w:i w:val="false"/>
          <w:iCs w:val="false"/>
          <w:color w:val="000000"/>
          <w:sz w:val="28"/>
          <w:szCs w:val="28"/>
        </w:rPr>
        <w:t xml:space="preserve">QUADRO RESUMO</w:t>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I – Vendedora:</w:t>
            </w:r>
          </w:p>
        </w:tc>
      </w:tr>
      <w:tr>
        <w:tc>
          <w:tcPr>
            <w:tcW w:type="dxa" w:w="9640"/>
            <w:tcBorders>
              <w:top w:val="single" w:color="888888" w:sz="4"/>
              <w:left w:val="single" w:color="888888" w:sz="4"/>
              <w:bottom w:val="single" w:color="888888" w:sz="4"/>
              <w:right w:val="single" w:color="888888" w:sz="4"/>
            </w:tcBorders>
            <w:tcMar>
              <w:top w:type="dxa" w:w="80"/>
              <w:left w:type="dxa" w:w="140"/>
              <w:bottom w:type="dxa" w:w="80"/>
              <w:right w:type="dxa" w:w="140"/>
            </w:tcMar>
          </w:tcPr>
          <w:p>
            <w:pPr>
              <w:spacing w:after="80" w:before="0" w:line="276"/>
              <w:jc w:val="both"/>
            </w:pPr>
            <w:r>
              <w:rPr>
                <w:rFonts w:ascii="Times New Roman" w:cs="Times New Roman" w:eastAsia="Times New Roman" w:hAnsi="Times New Roman"/>
                <w:b/>
                <w:bCs/>
                <w:color w:val="000000"/>
                <w:sz w:val="20"/>
                <w:szCs w:val="20"/>
              </w:rPr>
              <w:t xml:space="preserve">{VENDEDORA_NOME}</w:t>
            </w:r>
            <w:r>
              <w:rPr>
                <w:rFonts w:ascii="Times New Roman" w:cs="Times New Roman" w:eastAsia="Times New Roman" w:hAnsi="Times New Roman"/>
                <w:b w:val="false"/>
                <w:bCs w:val="false"/>
                <w:color w:val="000000"/>
                <w:sz w:val="20"/>
                <w:szCs w:val="20"/>
              </w:rPr>
              <w:t xml:space="preserve">, {VENDEDORA_QUALIFICACAO}</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II – Comprador(es):</w:t>
            </w:r>
          </w:p>
        </w:tc>
      </w:tr>
      <w:tr>
        <w:tc>
          <w:tcPr>
            <w:tcW w:type="dxa" w:w="9640"/>
            <w:tcBorders>
              <w:top w:val="single" w:color="888888" w:sz="4"/>
              <w:left w:val="single" w:color="888888" w:sz="4"/>
              <w:bottom w:val="single" w:color="888888" w:sz="4"/>
              <w:right w:val="single" w:color="888888" w:sz="4"/>
            </w:tcBorders>
            <w:tcMar>
              <w:top w:type="dxa" w:w="80"/>
              <w:left w:type="dxa" w:w="140"/>
              <w:bottom w:type="dxa" w:w="80"/>
              <w:right w:type="dxa" w:w="140"/>
            </w:tcMar>
          </w:tcPr>
          <w:p>
            <w:pPr>
              <w:spacing w:line="276"/>
              <w:jc w:val="both"/>
            </w:pPr>
            <w:r>
              <w:rPr>
                <w:rFonts w:ascii="Times New Roman" w:cs="Times New Roman" w:eastAsia="Times New Roman" w:hAnsi="Times New Roman"/>
                <w:sz w:val="20"/>
                <w:szCs w:val="20"/>
              </w:rPr>
              <w:t xml:space="preserve">{COMPRADOR_QUALIFICACAO}</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III – Do Empreendimento:</w:t>
            </w:r>
          </w:p>
        </w:tc>
      </w:tr>
      <w:tr>
        <w:tc>
          <w:tcPr>
            <w:tcW w:type="dxa" w:w="9640"/>
            <w:tcBorders>
              <w:top w:val="single" w:color="888888" w:sz="4"/>
              <w:left w:val="single" w:color="888888" w:sz="4"/>
              <w:bottom w:val="single" w:color="888888" w:sz="4"/>
              <w:right w:val="single" w:color="888888" w:sz="4"/>
            </w:tcBorders>
            <w:tcMar>
              <w:top w:type="dxa" w:w="80"/>
              <w:left w:type="dxa" w:w="140"/>
              <w:bottom w:type="dxa" w:w="80"/>
              <w:right w:type="dxa" w:w="140"/>
            </w:tcMar>
          </w:tcPr>
          <w:p>
            <w:pPr>
              <w:spacing w:after="80" w:before="0" w:line="276"/>
              <w:jc w:val="both"/>
            </w:pPr>
            <w:r>
              <w:rPr>
                <w:rFonts w:ascii="Times New Roman" w:cs="Times New Roman" w:eastAsia="Times New Roman" w:hAnsi="Times New Roman"/>
                <w:b/>
                <w:bCs/>
                <w:color w:val="000000"/>
                <w:sz w:val="20"/>
                <w:szCs w:val="20"/>
              </w:rPr>
              <w:t xml:space="preserve">Empreendimento: </w:t>
            </w:r>
            <w:r>
              <w:rPr>
                <w:rFonts w:ascii="Times New Roman" w:cs="Times New Roman" w:eastAsia="Times New Roman" w:hAnsi="Times New Roman"/>
                <w:b w:val="false"/>
                <w:bCs w:val="false"/>
                <w:color w:val="000000"/>
                <w:sz w:val="20"/>
                <w:szCs w:val="20"/>
              </w:rPr>
              <w:t xml:space="preserve">{EMP_NOME}</w:t>
            </w:r>
          </w:p>
          <w:p>
            <w:pPr>
              <w:spacing w:after="80" w:before="40" w:line="276"/>
              <w:jc w:val="both"/>
            </w:pPr>
            <w:r>
              <w:rPr>
                <w:rFonts w:ascii="Times New Roman" w:cs="Times New Roman" w:eastAsia="Times New Roman" w:hAnsi="Times New Roman"/>
                <w:b/>
                <w:bCs/>
                <w:color w:val="000000"/>
                <w:sz w:val="20"/>
                <w:szCs w:val="20"/>
              </w:rPr>
              <w:t xml:space="preserve">Endereço: </w:t>
            </w:r>
            <w:r>
              <w:rPr>
                <w:rFonts w:ascii="Times New Roman" w:cs="Times New Roman" w:eastAsia="Times New Roman" w:hAnsi="Times New Roman"/>
                <w:b w:val="false"/>
                <w:bCs w:val="false"/>
                <w:color w:val="000000"/>
                <w:sz w:val="20"/>
                <w:szCs w:val="20"/>
              </w:rPr>
              <w:t xml:space="preserve">{EMP_ENDERECO}</w:t>
            </w:r>
          </w:p>
        </w:tc>
      </w:tr>
      <w:tr>
        <w:tc>
          <w:tcPr>
            <w:tcW w:type="dxa" w:w="4820"/>
            <w:tcBorders>
              <w:top w:val="single" w:color="888888" w:sz="4"/>
              <w:left w:val="single" w:color="888888" w:sz="4"/>
              <w:bottom w:val="single" w:color="888888" w:sz="4"/>
              <w:right w:val="single" w:color="888888" w:sz="4"/>
            </w:tcBorders>
            <w:shd w:fill="D6E4F0" w:val="clear"/>
            <w:tcMar>
              <w:top w:type="dxa" w:w="70"/>
              <w:left w:type="dxa" w:w="120"/>
              <w:bottom w:type="dxa" w:w="70"/>
              <w:right w:type="dxa" w:w="120"/>
            </w:tcMar>
            <w:vAlign w:val="center"/>
          </w:tcPr>
          <w:p>
            <w:pPr>
              <w:spacing w:line="264"/>
              <w:jc w:val="both"/>
            </w:pPr>
            <w:r>
              <w:rPr>
                <w:rFonts w:ascii="Times New Roman" w:cs="Times New Roman" w:eastAsia="Times New Roman" w:hAnsi="Times New Roman"/>
                <w:b/>
                <w:bCs/>
                <w:sz w:val="20"/>
                <w:szCs w:val="20"/>
              </w:rPr>
              <w:t xml:space="preserve">Dados do Registro Imobiliário</w:t>
            </w:r>
          </w:p>
        </w:tc>
        <w:tc>
          <w:tcPr>
            <w:tcW w:type="dxa" w:w="4820"/>
            <w:tcBorders>
              <w:top w:val="single" w:color="888888" w:sz="4"/>
              <w:left w:val="single" w:color="888888" w:sz="4"/>
              <w:bottom w:val="single" w:color="888888" w:sz="4"/>
              <w:right w:val="single" w:color="888888" w:sz="4"/>
            </w:tcBorders>
            <w:shd w:fill="D6E4F0" w:val="clear"/>
            <w:tcMar>
              <w:top w:type="dxa" w:w="70"/>
              <w:left w:type="dxa" w:w="120"/>
              <w:bottom w:type="dxa" w:w="70"/>
              <w:right w:type="dxa" w:w="120"/>
            </w:tcMar>
            <w:vAlign w:val="center"/>
          </w:tcPr>
          <w:p>
            <w:pPr>
              <w:spacing w:line="264"/>
              <w:jc w:val="both"/>
            </w:pPr>
            <w:r>
              <w:rPr>
                <w:rFonts w:ascii="Times New Roman" w:cs="Times New Roman" w:eastAsia="Times New Roman" w:hAnsi="Times New Roman"/>
                <w:b/>
                <w:bCs/>
                <w:sz w:val="20"/>
                <w:szCs w:val="20"/>
              </w:rPr>
              <w:t xml:space="preserve">Incorporação Imobiliária</w:t>
            </w:r>
          </w:p>
        </w:tc>
      </w:tr>
      <w:tr>
        <w:tc>
          <w:tcPr>
            <w:tcW w:type="dxa" w:w="4820"/>
            <w:tcBorders>
              <w:top w:val="single" w:color="888888" w:sz="4"/>
              <w:left w:val="single" w:color="888888" w:sz="4"/>
              <w:bottom w:val="single" w:color="888888" w:sz="4"/>
              <w:right w:val="single" w:color="888888" w:sz="4"/>
            </w:tcBorders>
            <w:tcMar>
              <w:top w:type="dxa" w:w="70"/>
              <w:left w:type="dxa" w:w="120"/>
              <w:bottom w:type="dxa" w:w="70"/>
              <w:right w:type="dxa" w:w="120"/>
            </w:tcMar>
            <w:vAlign w:val="center"/>
          </w:tcPr>
          <w:p>
            <w:pPr>
              <w:spacing w:line="264"/>
              <w:jc w:val="both"/>
            </w:pPr>
            <w:r>
              <w:rPr>
                <w:rFonts w:ascii="Times New Roman" w:cs="Times New Roman" w:eastAsia="Times New Roman" w:hAnsi="Times New Roman"/>
                <w:b w:val="false"/>
                <w:bCs w:val="false"/>
                <w:sz w:val="20"/>
                <w:szCs w:val="20"/>
              </w:rPr>
              <w:t xml:space="preserve">Matrícula nº {EMP_MATRICULA}, do Registro de Imóveis da Comarca de {EMP_COMARCA}/SC</w:t>
            </w:r>
          </w:p>
        </w:tc>
        <w:tc>
          <w:tcPr>
            <w:tcW w:type="dxa" w:w="4820"/>
            <w:tcBorders>
              <w:top w:val="single" w:color="888888" w:sz="4"/>
              <w:left w:val="single" w:color="888888" w:sz="4"/>
              <w:bottom w:val="single" w:color="888888" w:sz="4"/>
              <w:right w:val="single" w:color="888888" w:sz="4"/>
            </w:tcBorders>
            <w:tcMar>
              <w:top w:type="dxa" w:w="70"/>
              <w:left w:type="dxa" w:w="120"/>
              <w:bottom w:type="dxa" w:w="70"/>
              <w:right w:type="dxa" w:w="120"/>
            </w:tcMar>
            <w:vAlign w:val="center"/>
          </w:tcPr>
          <w:p>
            <w:pPr>
              <w:spacing w:line="264"/>
              <w:jc w:val="both"/>
            </w:pPr>
            <w:r>
              <w:rPr>
                <w:rFonts w:ascii="Times New Roman" w:cs="Times New Roman" w:eastAsia="Times New Roman" w:hAnsi="Times New Roman"/>
                <w:b w:val="false"/>
                <w:bCs w:val="false"/>
                <w:sz w:val="20"/>
                <w:szCs w:val="20"/>
              </w:rPr>
              <w:t xml:space="preserve">{EMP_INCORPORACAO}</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IV – Do Objeto da Compra e Venda</w:t>
            </w:r>
          </w:p>
        </w:tc>
      </w:tr>
      <w:tr>
        <w:tc>
          <w:tcPr>
            <w:tcW w:type="dxa" w:w="3856"/>
            <w:tcBorders>
              <w:top w:val="single" w:color="888888" w:sz="4"/>
              <w:left w:val="single" w:color="888888" w:sz="4"/>
              <w:bottom w:val="single" w:color="888888" w:sz="4"/>
              <w:right w:val="single" w:color="888888" w:sz="4"/>
            </w:tcBorders>
            <w:shd w:fill="D6E4F0" w:val="clear"/>
            <w:tcMar>
              <w:top w:type="dxa" w:w="70"/>
              <w:left w:type="dxa" w:w="120"/>
              <w:bottom w:type="dxa" w:w="70"/>
              <w:right w:type="dxa" w:w="120"/>
            </w:tcMar>
            <w:vAlign w:val="center"/>
          </w:tcPr>
          <w:p>
            <w:pPr>
              <w:spacing w:line="264"/>
              <w:jc w:val="both"/>
            </w:pPr>
            <w:r>
              <w:rPr>
                <w:rFonts w:ascii="Times New Roman" w:cs="Times New Roman" w:eastAsia="Times New Roman" w:hAnsi="Times New Roman"/>
                <w:b/>
                <w:bCs/>
                <w:sz w:val="20"/>
                <w:szCs w:val="20"/>
              </w:rPr>
              <w:t xml:space="preserve">Identificação da Unidade de Apartamento:</w:t>
            </w:r>
          </w:p>
        </w:tc>
        <w:tc>
          <w:tcPr>
            <w:tcW w:type="dxa" w:w="2410"/>
            <w:tcBorders>
              <w:top w:val="single" w:color="888888" w:sz="4"/>
              <w:left w:val="single" w:color="888888" w:sz="4"/>
              <w:bottom w:val="single" w:color="888888" w:sz="4"/>
              <w:right w:val="single" w:color="888888" w:sz="4"/>
            </w:tcBorders>
            <w:shd w:fill="D6E4F0" w:val="clear"/>
            <w:tcMar>
              <w:top w:type="dxa" w:w="70"/>
              <w:left w:type="dxa" w:w="120"/>
              <w:bottom w:type="dxa" w:w="70"/>
              <w:right w:type="dxa" w:w="120"/>
            </w:tcMar>
            <w:vAlign w:val="center"/>
          </w:tcPr>
          <w:p>
            <w:pPr>
              <w:spacing w:line="264"/>
              <w:jc w:val="both"/>
            </w:pPr>
            <w:r>
              <w:rPr>
                <w:rFonts w:ascii="Times New Roman" w:cs="Times New Roman" w:eastAsia="Times New Roman" w:hAnsi="Times New Roman"/>
                <w:b/>
                <w:bCs/>
                <w:sz w:val="20"/>
                <w:szCs w:val="20"/>
              </w:rPr>
              <w:t xml:space="preserve">Metragem Quadrada:</w:t>
            </w:r>
          </w:p>
        </w:tc>
        <w:tc>
          <w:tcPr>
            <w:tcW w:type="dxa" w:w="3374"/>
            <w:tcBorders>
              <w:top w:val="single" w:color="888888" w:sz="4"/>
              <w:left w:val="single" w:color="888888" w:sz="4"/>
              <w:bottom w:val="single" w:color="888888" w:sz="4"/>
              <w:right w:val="single" w:color="888888" w:sz="4"/>
            </w:tcBorders>
            <w:shd w:fill="D6E4F0" w:val="clear"/>
            <w:tcMar>
              <w:top w:type="dxa" w:w="70"/>
              <w:left w:type="dxa" w:w="120"/>
              <w:bottom w:type="dxa" w:w="70"/>
              <w:right w:type="dxa" w:w="120"/>
            </w:tcMar>
            <w:vAlign w:val="center"/>
          </w:tcPr>
          <w:p>
            <w:pPr>
              <w:spacing w:line="264"/>
              <w:jc w:val="both"/>
            </w:pPr>
            <w:r>
              <w:rPr>
                <w:rFonts w:ascii="Times New Roman" w:cs="Times New Roman" w:eastAsia="Times New Roman" w:hAnsi="Times New Roman"/>
                <w:b/>
                <w:bCs/>
                <w:sz w:val="20"/>
                <w:szCs w:val="20"/>
              </w:rPr>
              <w:t xml:space="preserve">Vagas de Garagens:</w:t>
            </w:r>
          </w:p>
        </w:tc>
      </w:tr>
      <w:tr>
        <w:tc>
          <w:tcPr>
            <w:tcW w:type="dxa" w:w="3856"/>
            <w:tcBorders>
              <w:top w:val="single" w:color="888888" w:sz="4"/>
              <w:left w:val="single" w:color="888888" w:sz="4"/>
              <w:bottom w:val="single" w:color="888888" w:sz="4"/>
              <w:right w:val="single" w:color="888888" w:sz="4"/>
            </w:tcBorders>
            <w:tcMar>
              <w:top w:type="dxa" w:w="70"/>
              <w:left w:type="dxa" w:w="120"/>
              <w:bottom w:type="dxa" w:w="70"/>
              <w:right w:type="dxa" w:w="120"/>
            </w:tcMar>
            <w:vAlign w:val="center"/>
          </w:tcPr>
          <w:p>
            <w:pPr>
              <w:spacing w:line="264"/>
              <w:jc w:val="both"/>
            </w:pPr>
            <w:r>
              <w:rPr>
                <w:rFonts w:ascii="Times New Roman" w:cs="Times New Roman" w:eastAsia="Times New Roman" w:hAnsi="Times New Roman"/>
                <w:b w:val="false"/>
                <w:bCs w:val="false"/>
                <w:sz w:val="20"/>
                <w:szCs w:val="20"/>
              </w:rPr>
              <w:t xml:space="preserve">{UNIDADE_TIPO} nº {UNIDADE_NUM}</w:t>
            </w:r>
          </w:p>
        </w:tc>
        <w:tc>
          <w:tcPr>
            <w:tcW w:type="dxa" w:w="2410"/>
            <w:tcBorders>
              <w:top w:val="single" w:color="888888" w:sz="4"/>
              <w:left w:val="single" w:color="888888" w:sz="4"/>
              <w:bottom w:val="single" w:color="888888" w:sz="4"/>
              <w:right w:val="single" w:color="888888" w:sz="4"/>
            </w:tcBorders>
            <w:tcMar>
              <w:top w:type="dxa" w:w="70"/>
              <w:left w:type="dxa" w:w="120"/>
              <w:bottom w:type="dxa" w:w="70"/>
              <w:right w:type="dxa" w:w="120"/>
            </w:tcMar>
            <w:vAlign w:val="center"/>
          </w:tcPr>
          <w:p>
            <w:pPr>
              <w:spacing w:line="264"/>
              <w:jc w:val="center"/>
            </w:pPr>
            <w:r>
              <w:rPr>
                <w:rFonts w:ascii="Times New Roman" w:cs="Times New Roman" w:eastAsia="Times New Roman" w:hAnsi="Times New Roman"/>
                <w:b w:val="false"/>
                <w:bCs w:val="false"/>
                <w:sz w:val="20"/>
                <w:szCs w:val="20"/>
              </w:rPr>
              <w:t xml:space="preserve">{UNIDADE_AREA} m²</w:t>
            </w:r>
          </w:p>
        </w:tc>
        <w:tc>
          <w:tcPr>
            <w:tcW w:type="dxa" w:w="3374"/>
            <w:tcBorders>
              <w:top w:val="single" w:color="888888" w:sz="4"/>
              <w:left w:val="single" w:color="888888" w:sz="4"/>
              <w:bottom w:val="single" w:color="888888" w:sz="4"/>
              <w:right w:val="single" w:color="888888" w:sz="4"/>
            </w:tcBorders>
            <w:tcMar>
              <w:top w:type="dxa" w:w="70"/>
              <w:left w:type="dxa" w:w="120"/>
              <w:bottom w:type="dxa" w:w="70"/>
              <w:right w:type="dxa" w:w="120"/>
            </w:tcMar>
            <w:vAlign w:val="center"/>
          </w:tcPr>
          <w:p>
            <w:pPr>
              <w:spacing w:line="264"/>
              <w:jc w:val="both"/>
            </w:pPr>
            <w:r>
              <w:rPr>
                <w:rFonts w:ascii="Times New Roman" w:cs="Times New Roman" w:eastAsia="Times New Roman" w:hAnsi="Times New Roman"/>
                <w:b w:val="false"/>
                <w:bCs w:val="false"/>
                <w:sz w:val="20"/>
                <w:szCs w:val="20"/>
              </w:rPr>
              <w:t xml:space="preserve">{VAGAS_GARAGEM}</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V – Do Preço Total:</w:t>
            </w:r>
          </w:p>
        </w:tc>
      </w:tr>
      <w:tr>
        <w:tc>
          <w:tcPr>
            <w:tcW w:type="dxa" w:w="9640"/>
            <w:tcBorders>
              <w:top w:val="single" w:color="888888" w:sz="4"/>
              <w:left w:val="single" w:color="888888" w:sz="4"/>
              <w:bottom w:val="single" w:color="888888" w:sz="4"/>
              <w:right w:val="single" w:color="888888" w:sz="4"/>
            </w:tcBorders>
            <w:tcMar>
              <w:top w:type="dxa" w:w="80"/>
              <w:left w:type="dxa" w:w="140"/>
              <w:bottom w:type="dxa" w:w="80"/>
              <w:right w:type="dxa" w:w="140"/>
            </w:tcMar>
          </w:tcPr>
          <w:p>
            <w:pPr>
              <w:spacing w:line="276"/>
              <w:jc w:val="both"/>
            </w:pPr>
            <w:r>
              <w:rPr>
                <w:rFonts w:ascii="Times New Roman" w:cs="Times New Roman" w:eastAsia="Times New Roman" w:hAnsi="Times New Roman"/>
                <w:b/>
                <w:bCs/>
                <w:sz w:val="20"/>
                <w:szCs w:val="20"/>
              </w:rPr>
              <w:t xml:space="preserve">R$ {VALOR_TOTAL} (</w:t>
            </w:r>
            <w:r>
              <w:rPr>
                <w:rFonts w:ascii="Times New Roman" w:cs="Times New Roman" w:eastAsia="Times New Roman" w:hAnsi="Times New Roman"/>
                <w:b/>
                <w:bCs/>
                <w:sz w:val="20"/>
                <w:szCs w:val="20"/>
              </w:rPr>
              <w:t xml:space="preserve">{VALOR_TOTAL_EXTENSO}</w:t>
            </w:r>
            <w:r>
              <w:rPr>
                <w:rFonts w:ascii="Times New Roman" w:cs="Times New Roman" w:eastAsia="Times New Roman" w:hAnsi="Times New Roman"/>
                <w:sz w:val="20"/>
                <w:szCs w:val="20"/>
              </w:rPr>
              <w:t xml:space="preserve">), equivalentes nesta data a </w:t>
            </w:r>
            <w:r>
              <w:rPr>
                <w:rFonts w:ascii="Times New Roman" w:cs="Times New Roman" w:eastAsia="Times New Roman" w:hAnsi="Times New Roman"/>
                <w:b/>
                <w:bCs/>
                <w:sz w:val="20"/>
                <w:szCs w:val="20"/>
              </w:rPr>
              <w:t xml:space="preserve">{VALOR_CUB} CUB/SC,</w:t>
            </w:r>
            <w:r>
              <w:rPr>
                <w:rFonts w:ascii="Times New Roman" w:cs="Times New Roman" w:eastAsia="Times New Roman" w:hAnsi="Times New Roman"/>
                <w:sz w:val="20"/>
                <w:szCs w:val="20"/>
              </w:rPr>
              <w:t xml:space="preserve"> cujo pagamento será integralmente realizado pelo COMPRADOR(A) à VENDEDORA, na forma prevista no item seguinte.</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VI – Da Forma de Pagamento:</w:t>
            </w:r>
          </w:p>
        </w:tc>
      </w:tr>
    </w:tbl>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520"/>
        <w:gridCol w:w="1700"/>
        <w:gridCol w:w="2080"/>
        <w:gridCol w:w="1400"/>
        <w:gridCol w:w="2200"/>
        <w:gridCol w:w="1740"/>
      </w:tblGrid>
      <w:tr>
        <w:tc>
          <w:tcPr>
            <w:tcW w:type="dxa" w:w="520"/>
            <w:tcBorders>
              <w:top w:val="single" w:color="888888" w:sz="4"/>
              <w:left w:val="single" w:color="888888" w:sz="4"/>
              <w:bottom w:val="single" w:color="888888" w:sz="4"/>
              <w:right w:val="single" w:color="888888" w:sz="4"/>
            </w:tcBorders>
            <w:shd w:fill="1B3A5C"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Nº</w:t>
            </w:r>
          </w:p>
        </w:tc>
        <w:tc>
          <w:tcPr>
            <w:tcW w:type="dxa" w:w="1700"/>
            <w:tcBorders>
              <w:top w:val="single" w:color="888888" w:sz="4"/>
              <w:left w:val="single" w:color="888888" w:sz="4"/>
              <w:bottom w:val="single" w:color="888888" w:sz="4"/>
              <w:right w:val="single" w:color="888888" w:sz="4"/>
            </w:tcBorders>
            <w:shd w:fill="1B3A5C"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Título</w:t>
            </w:r>
          </w:p>
        </w:tc>
        <w:tc>
          <w:tcPr>
            <w:tcW w:type="dxa" w:w="2080"/>
            <w:tcBorders>
              <w:top w:val="single" w:color="888888" w:sz="4"/>
              <w:left w:val="single" w:color="888888" w:sz="4"/>
              <w:bottom w:val="single" w:color="888888" w:sz="4"/>
              <w:right w:val="single" w:color="888888" w:sz="4"/>
            </w:tcBorders>
            <w:shd w:fill="1B3A5C"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Primeiro Vencimento</w:t>
            </w:r>
          </w:p>
        </w:tc>
        <w:tc>
          <w:tcPr>
            <w:tcW w:type="dxa" w:w="1400"/>
            <w:tcBorders>
              <w:top w:val="single" w:color="888888" w:sz="4"/>
              <w:left w:val="single" w:color="888888" w:sz="4"/>
              <w:bottom w:val="single" w:color="888888" w:sz="4"/>
              <w:right w:val="single" w:color="888888" w:sz="4"/>
            </w:tcBorders>
            <w:shd w:fill="1B3A5C"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Nº Parcelas</w:t>
            </w:r>
          </w:p>
        </w:tc>
        <w:tc>
          <w:tcPr>
            <w:tcW w:type="dxa" w:w="2200"/>
            <w:tcBorders>
              <w:top w:val="single" w:color="888888" w:sz="4"/>
              <w:left w:val="single" w:color="888888" w:sz="4"/>
              <w:bottom w:val="single" w:color="888888" w:sz="4"/>
              <w:right w:val="single" w:color="888888" w:sz="4"/>
            </w:tcBorders>
            <w:shd w:fill="1B3A5C"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Valor Inicial da Parcela</w:t>
            </w:r>
          </w:p>
        </w:tc>
        <w:tc>
          <w:tcPr>
            <w:tcW w:type="dxa" w:w="1740"/>
            <w:tcBorders>
              <w:top w:val="single" w:color="888888" w:sz="4"/>
              <w:left w:val="single" w:color="888888" w:sz="4"/>
              <w:bottom w:val="single" w:color="888888" w:sz="4"/>
              <w:right w:val="single" w:color="888888" w:sz="4"/>
            </w:tcBorders>
            <w:shd w:fill="1B3A5C" w:val="clear"/>
            <w:tcMar>
              <w:top w:type="dxa" w:w="60"/>
              <w:left w:type="dxa" w:w="80"/>
              <w:bottom w:type="dxa" w:w="60"/>
              <w:right w:type="dxa" w:w="80"/>
            </w:tcMar>
            <w:vAlign w:val="center"/>
          </w:tcPr>
          <w:p>
            <w:pPr>
              <w:jc w:val="center"/>
            </w:pPr>
            <w:r>
              <w:rPr>
                <w:rFonts w:ascii="Times New Roman" w:cs="Times New Roman" w:eastAsia="Times New Roman" w:hAnsi="Times New Roman"/>
                <w:b/>
                <w:bCs/>
                <w:color w:val="FFFFFF"/>
                <w:sz w:val="18"/>
                <w:szCs w:val="18"/>
              </w:rPr>
              <w:t xml:space="preserve">Correção</w:t>
            </w:r>
          </w:p>
        </w:tc>
      </w:tr>
      <w:tr>
        <w:tc>
          <w:tcPr>
            <w:tcW w:type="dxa" w:w="52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A</w:t>
            </w:r>
          </w:p>
        </w:tc>
        <w:tc>
          <w:tcPr>
            <w:tcW w:type="dxa" w:w="17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left"/>
            </w:pPr>
            <w:r>
              <w:rPr>
                <w:rFonts w:ascii="Times New Roman" w:cs="Times New Roman" w:eastAsia="Times New Roman" w:hAnsi="Times New Roman"/>
                <w:sz w:val="19"/>
                <w:szCs w:val="19"/>
              </w:rPr>
              <w:t xml:space="preserve">{PAGTO_A_TITULO}</w:t>
            </w:r>
          </w:p>
        </w:tc>
        <w:tc>
          <w:tcPr>
            <w:tcW w:type="dxa" w:w="208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{PAGTO_A_VENCIMENTO}</w:t>
            </w:r>
          </w:p>
        </w:tc>
        <w:tc>
          <w:tcPr>
            <w:tcW w:type="dxa" w:w="14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{PAGTO_A_QTD}</w:t>
            </w:r>
          </w:p>
        </w:tc>
        <w:tc>
          <w:tcPr>
            <w:tcW w:type="dxa" w:w="22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{PAGTO_A_VALOR}</w:t>
            </w:r>
          </w:p>
        </w:tc>
        <w:tc>
          <w:tcPr>
            <w:tcW w:type="dxa" w:w="174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{PAGTO_CORRECAO}</w:t>
            </w:r>
          </w:p>
        </w:tc>
      </w:tr>
      <w:tr>
        <w:tc>
          <w:tcPr>
            <w:tcW w:type="dxa" w:w="52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B</w:t>
            </w:r>
          </w:p>
        </w:tc>
        <w:tc>
          <w:tcPr>
            <w:tcW w:type="dxa" w:w="17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left"/>
            </w:pPr>
            <w:r>
              <w:rPr>
                <w:rFonts w:ascii="Times New Roman" w:cs="Times New Roman" w:eastAsia="Times New Roman" w:hAnsi="Times New Roman"/>
                <w:sz w:val="19"/>
                <w:szCs w:val="19"/>
              </w:rPr>
              <w:t xml:space="preserve">{PAGTO_B_TITULO}</w:t>
            </w:r>
          </w:p>
        </w:tc>
        <w:tc>
          <w:tcPr>
            <w:tcW w:type="dxa" w:w="208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{PAGTO_B_VENCIMENTO}</w:t>
            </w:r>
          </w:p>
        </w:tc>
        <w:tc>
          <w:tcPr>
            <w:tcW w:type="dxa" w:w="14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{PAGTO_B_QTD}</w:t>
            </w:r>
          </w:p>
        </w:tc>
        <w:tc>
          <w:tcPr>
            <w:tcW w:type="dxa" w:w="22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{PAGTO_B_VALOR}</w:t>
            </w:r>
          </w:p>
        </w:tc>
        <w:tc>
          <w:tcPr>
            <w:tcW w:type="dxa" w:w="174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{PAGTO_CORRECAO}</w:t>
            </w:r>
          </w:p>
        </w:tc>
      </w:tr>
      <w:tr>
        <w:tc>
          <w:tcPr>
            <w:tcW w:type="dxa" w:w="52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C</w:t>
            </w:r>
          </w:p>
        </w:tc>
        <w:tc>
          <w:tcPr>
            <w:tcW w:type="dxa" w:w="17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left"/>
            </w:pPr>
            <w:r>
              <w:rPr>
                <w:rFonts w:ascii="Times New Roman" w:cs="Times New Roman" w:eastAsia="Times New Roman" w:hAnsi="Times New Roman"/>
                <w:sz w:val="19"/>
                <w:szCs w:val="19"/>
              </w:rPr>
              <w:t xml:space="preserve">{PAGTO_C_TITULO}</w:t>
            </w:r>
          </w:p>
        </w:tc>
        <w:tc>
          <w:tcPr>
            <w:tcW w:type="dxa" w:w="208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{PAGTO_C_VENCIMENTO}</w:t>
            </w:r>
          </w:p>
        </w:tc>
        <w:tc>
          <w:tcPr>
            <w:tcW w:type="dxa" w:w="14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{PAGTO_C_QTD}</w:t>
            </w:r>
          </w:p>
        </w:tc>
        <w:tc>
          <w:tcPr>
            <w:tcW w:type="dxa" w:w="22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{PAGTO_C_VALOR}</w:t>
            </w:r>
          </w:p>
        </w:tc>
        <w:tc>
          <w:tcPr>
            <w:tcW w:type="dxa" w:w="174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{PAGTO_CORRECAO}</w:t>
            </w:r>
          </w:p>
        </w:tc>
      </w:tr>
      <w:tr>
        <w:tc>
          <w:tcPr>
            <w:tcW w:type="dxa" w:w="52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D</w:t>
            </w:r>
          </w:p>
        </w:tc>
        <w:tc>
          <w:tcPr>
            <w:tcW w:type="dxa" w:w="17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left"/>
            </w:pPr>
            <w:r>
              <w:rPr>
                <w:rFonts w:ascii="Times New Roman" w:cs="Times New Roman" w:eastAsia="Times New Roman" w:hAnsi="Times New Roman"/>
                <w:sz w:val="19"/>
                <w:szCs w:val="19"/>
              </w:rPr>
              <w:t xml:space="preserve">{PAGTO_D_TITULO}</w:t>
            </w:r>
          </w:p>
        </w:tc>
        <w:tc>
          <w:tcPr>
            <w:tcW w:type="dxa" w:w="208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{PAGTO_D_VENCIMENTO}</w:t>
            </w:r>
          </w:p>
        </w:tc>
        <w:tc>
          <w:tcPr>
            <w:tcW w:type="dxa" w:w="14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{PAGTO_D_QTD}</w:t>
            </w:r>
          </w:p>
        </w:tc>
        <w:tc>
          <w:tcPr>
            <w:tcW w:type="dxa" w:w="22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{PAGTO_D_VALOR}</w:t>
            </w:r>
          </w:p>
        </w:tc>
        <w:tc>
          <w:tcPr>
            <w:tcW w:type="dxa" w:w="174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{PAGTO_CORRECAO}</w:t>
            </w:r>
          </w:p>
        </w:tc>
      </w:tr>
      <w:tr>
        <w:tc>
          <w:tcPr>
            <w:tcW w:type="dxa" w:w="52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E</w:t>
            </w:r>
          </w:p>
        </w:tc>
        <w:tc>
          <w:tcPr>
            <w:tcW w:type="dxa" w:w="17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left"/>
            </w:pPr>
            <w:r>
              <w:rPr>
                <w:rFonts w:ascii="Times New Roman" w:cs="Times New Roman" w:eastAsia="Times New Roman" w:hAnsi="Times New Roman"/>
                <w:sz w:val="19"/>
                <w:szCs w:val="19"/>
              </w:rPr>
              <w:t xml:space="preserve">{PAGTO_E_TITULO}</w:t>
            </w:r>
          </w:p>
        </w:tc>
        <w:tc>
          <w:tcPr>
            <w:tcW w:type="dxa" w:w="208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{PAGTO_E_VENCIMENTO}</w:t>
            </w:r>
          </w:p>
        </w:tc>
        <w:tc>
          <w:tcPr>
            <w:tcW w:type="dxa" w:w="14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{PAGTO_E_QTD}</w:t>
            </w:r>
          </w:p>
        </w:tc>
        <w:tc>
          <w:tcPr>
            <w:tcW w:type="dxa" w:w="22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{PAGTO_E_VALOR}</w:t>
            </w:r>
          </w:p>
        </w:tc>
        <w:tc>
          <w:tcPr>
            <w:tcW w:type="dxa" w:w="174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{PAGTO_CORRECAO}</w:t>
            </w:r>
          </w:p>
        </w:tc>
      </w:tr>
      <w:tr>
        <w:tc>
          <w:tcPr>
            <w:tcW w:type="dxa" w:w="52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F</w:t>
            </w:r>
          </w:p>
        </w:tc>
        <w:tc>
          <w:tcPr>
            <w:tcW w:type="dxa" w:w="17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left"/>
            </w:pPr>
            <w:r>
              <w:rPr>
                <w:rFonts w:ascii="Times New Roman" w:cs="Times New Roman" w:eastAsia="Times New Roman" w:hAnsi="Times New Roman"/>
                <w:sz w:val="19"/>
                <w:szCs w:val="19"/>
              </w:rPr>
              <w:t xml:space="preserve">{PAGTO_F_TITULO}</w:t>
            </w:r>
          </w:p>
        </w:tc>
        <w:tc>
          <w:tcPr>
            <w:tcW w:type="dxa" w:w="208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{PAGTO_F_VENCIMENTO}</w:t>
            </w:r>
          </w:p>
        </w:tc>
        <w:tc>
          <w:tcPr>
            <w:tcW w:type="dxa" w:w="14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{PAGTO_F_QTD}</w:t>
            </w:r>
          </w:p>
        </w:tc>
        <w:tc>
          <w:tcPr>
            <w:tcW w:type="dxa" w:w="220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{PAGTO_F_VALOR}</w:t>
            </w:r>
          </w:p>
        </w:tc>
        <w:tc>
          <w:tcPr>
            <w:tcW w:type="dxa" w:w="1740"/>
            <w:tcBorders>
              <w:top w:val="single" w:color="888888" w:sz="4"/>
              <w:left w:val="single" w:color="888888" w:sz="4"/>
              <w:bottom w:val="single" w:color="888888" w:sz="4"/>
              <w:right w:val="single" w:color="888888" w:sz="4"/>
            </w:tcBorders>
            <w:tcMar>
              <w:top w:type="dxa" w:w="55"/>
              <w:left w:type="dxa" w:w="80"/>
              <w:bottom w:type="dxa" w:w="55"/>
              <w:right w:type="dxa" w:w="80"/>
            </w:tcMar>
          </w:tcPr>
          <w:p>
            <w:pPr>
              <w:jc w:val="center"/>
            </w:pPr>
            <w:r>
              <w:rPr>
                <w:rFonts w:ascii="Times New Roman" w:cs="Times New Roman" w:eastAsia="Times New Roman" w:hAnsi="Times New Roman"/>
                <w:sz w:val="19"/>
                <w:szCs w:val="19"/>
              </w:rPr>
              <w:t xml:space="preserve">{PAGTO_CORRECAO}</w:t>
            </w:r>
          </w:p>
        </w:tc>
      </w:tr>
    </w:tbl>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W w:type="dxa" w:w="9640"/>
            <w:tcBorders>
              <w:top w:val="single" w:color="888888" w:sz="4"/>
              <w:left w:val="single" w:color="888888" w:sz="4"/>
              <w:bottom w:val="single" w:color="888888" w:sz="4"/>
              <w:right w:val="single" w:color="888888" w:sz="4"/>
            </w:tcBorders>
            <w:tcMar>
              <w:top w:type="dxa" w:w="70"/>
              <w:left w:type="dxa" w:w="120"/>
              <w:bottom w:type="dxa" w:w="70"/>
              <w:right w:type="dxa" w:w="120"/>
            </w:tcMar>
            <w:vAlign w:val="center"/>
          </w:tcPr>
          <w:p>
            <w:pPr>
              <w:spacing w:line="264"/>
              <w:jc w:val="both"/>
            </w:pPr>
            <w:r>
              <w:rPr>
                <w:rFonts w:ascii="Times New Roman" w:cs="Times New Roman" w:eastAsia="Times New Roman" w:hAnsi="Times New Roman"/>
                <w:b w:val="false"/>
                <w:bCs w:val="false"/>
                <w:sz w:val="19"/>
                <w:szCs w:val="19"/>
              </w:rPr>
              <w:t xml:space="preserve">Observações/ajustes: {PAGTO_OBSERVACOES}</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VII – Da Correção Monetária:</w:t>
            </w:r>
          </w:p>
        </w:tc>
      </w:tr>
      <w:tr>
        <w:tc>
          <w:tcPr>
            <w:tcW w:type="dxa" w:w="9640"/>
            <w:tcBorders>
              <w:top w:val="single" w:color="888888" w:sz="4"/>
              <w:left w:val="single" w:color="888888" w:sz="4"/>
              <w:bottom w:val="single" w:color="888888" w:sz="4"/>
              <w:right w:val="single" w:color="888888" w:sz="4"/>
            </w:tcBorders>
            <w:tcMar>
              <w:top w:type="dxa" w:w="80"/>
              <w:left w:type="dxa" w:w="140"/>
              <w:bottom w:type="dxa" w:w="80"/>
              <w:right w:type="dxa" w:w="140"/>
            </w:tcMar>
          </w:tcPr>
          <w:p>
            <w:pPr>
              <w:spacing w:after="80" w:before="0" w:line="276"/>
              <w:jc w:val="both"/>
            </w:pPr>
            <w:r>
              <w:rPr>
                <w:rFonts w:ascii="Times New Roman" w:cs="Times New Roman" w:eastAsia="Times New Roman" w:hAnsi="Times New Roman"/>
                <w:b w:val="false"/>
                <w:bCs w:val="false"/>
                <w:i w:val="false"/>
                <w:iCs w:val="false"/>
                <w:color w:val="000000"/>
                <w:sz w:val="20"/>
                <w:szCs w:val="20"/>
              </w:rPr>
              <w:t xml:space="preserve">A correção monetária das parcelas devidas dar-se-á pelo índice do CUB/SC, na forma em que divulgado pelo SINDUSCON/SC (https://sinduscon-fpolis.org.br/), para o índice Residencial Médio, até a data da entrega das chaves. Somente considerar-se-á a correção positiva do CUB/SC no período. Caso o valor apurado seja inferior ao valor original estipulado neste contrato, será devido o valor da parcela estipulado na tabela acima.</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VIII – Da Corretagem:</w:t>
            </w:r>
          </w:p>
        </w:tc>
      </w:tr>
      <w:tr>
        <w:tc>
          <w:tcPr>
            <w:tcW w:type="dxa" w:w="3374"/>
            <w:tcBorders>
              <w:top w:val="single" w:color="888888" w:sz="4"/>
              <w:left w:val="single" w:color="888888" w:sz="4"/>
              <w:bottom w:val="single" w:color="888888" w:sz="4"/>
              <w:right w:val="single" w:color="888888" w:sz="4"/>
            </w:tcBorders>
            <w:shd w:fill="D6E4F0" w:val="clear"/>
            <w:tcMar>
              <w:top w:type="dxa" w:w="70"/>
              <w:left w:type="dxa" w:w="120"/>
              <w:bottom w:type="dxa" w:w="70"/>
              <w:right w:type="dxa" w:w="120"/>
            </w:tcMar>
            <w:vAlign w:val="center"/>
          </w:tcPr>
          <w:p>
            <w:pPr>
              <w:spacing w:line="264"/>
              <w:jc w:val="both"/>
            </w:pPr>
            <w:r>
              <w:rPr>
                <w:rFonts w:ascii="Times New Roman" w:cs="Times New Roman" w:eastAsia="Times New Roman" w:hAnsi="Times New Roman"/>
                <w:b/>
                <w:bCs/>
                <w:sz w:val="20"/>
                <w:szCs w:val="20"/>
              </w:rPr>
              <w:t xml:space="preserve">Identificação do Intermediador:</w:t>
            </w:r>
          </w:p>
        </w:tc>
        <w:tc>
          <w:tcPr>
            <w:tcW w:type="dxa" w:w="6266"/>
            <w:tcBorders>
              <w:top w:val="single" w:color="888888" w:sz="4"/>
              <w:left w:val="single" w:color="888888" w:sz="4"/>
              <w:bottom w:val="single" w:color="888888" w:sz="4"/>
              <w:right w:val="single" w:color="888888" w:sz="4"/>
            </w:tcBorders>
            <w:tcMar>
              <w:top w:type="dxa" w:w="70"/>
              <w:left w:type="dxa" w:w="120"/>
              <w:bottom w:type="dxa" w:w="70"/>
              <w:right w:type="dxa" w:w="120"/>
            </w:tcMar>
            <w:vAlign w:val="center"/>
          </w:tcPr>
          <w:p>
            <w:pPr>
              <w:spacing w:line="264"/>
              <w:jc w:val="both"/>
            </w:pPr>
            <w:r>
              <w:rPr>
                <w:rFonts w:ascii="Times New Roman" w:cs="Times New Roman" w:eastAsia="Times New Roman" w:hAnsi="Times New Roman"/>
                <w:b w:val="false"/>
                <w:bCs w:val="false"/>
                <w:sz w:val="20"/>
                <w:szCs w:val="20"/>
              </w:rPr>
              <w:t xml:space="preserve">{CORRETOR_IDENTIFICACAO}</w:t>
            </w:r>
          </w:p>
        </w:tc>
      </w:tr>
      <w:tr>
        <w:tc>
          <w:tcPr>
            <w:tcW w:type="dxa" w:w="3374"/>
            <w:tcBorders>
              <w:top w:val="single" w:color="888888" w:sz="4"/>
              <w:left w:val="single" w:color="888888" w:sz="4"/>
              <w:bottom w:val="single" w:color="888888" w:sz="4"/>
              <w:right w:val="single" w:color="888888" w:sz="4"/>
            </w:tcBorders>
            <w:shd w:fill="D6E4F0" w:val="clear"/>
            <w:tcMar>
              <w:top w:type="dxa" w:w="70"/>
              <w:left w:type="dxa" w:w="120"/>
              <w:bottom w:type="dxa" w:w="70"/>
              <w:right w:type="dxa" w:w="120"/>
            </w:tcMar>
            <w:vAlign w:val="center"/>
          </w:tcPr>
          <w:p>
            <w:pPr>
              <w:spacing w:line="264"/>
              <w:jc w:val="both"/>
            </w:pPr>
            <w:r>
              <w:rPr>
                <w:rFonts w:ascii="Times New Roman" w:cs="Times New Roman" w:eastAsia="Times New Roman" w:hAnsi="Times New Roman"/>
                <w:b/>
                <w:bCs/>
                <w:sz w:val="20"/>
                <w:szCs w:val="20"/>
              </w:rPr>
              <w:t xml:space="preserve">Valor da Corretagem:</w:t>
            </w:r>
          </w:p>
        </w:tc>
        <w:tc>
          <w:tcPr>
            <w:tcW w:type="dxa" w:w="6266"/>
            <w:tcBorders>
              <w:top w:val="single" w:color="888888" w:sz="4"/>
              <w:left w:val="single" w:color="888888" w:sz="4"/>
              <w:bottom w:val="single" w:color="888888" w:sz="4"/>
              <w:right w:val="single" w:color="888888" w:sz="4"/>
            </w:tcBorders>
            <w:tcMar>
              <w:top w:type="dxa" w:w="70"/>
              <w:left w:type="dxa" w:w="120"/>
              <w:bottom w:type="dxa" w:w="70"/>
              <w:right w:type="dxa" w:w="120"/>
            </w:tcMar>
            <w:vAlign w:val="center"/>
          </w:tcPr>
          <w:p>
            <w:pPr>
              <w:spacing w:line="264"/>
              <w:jc w:val="both"/>
            </w:pPr>
            <w:r>
              <w:rPr>
                <w:rFonts w:ascii="Times New Roman" w:cs="Times New Roman" w:eastAsia="Times New Roman" w:hAnsi="Times New Roman"/>
                <w:b w:val="false"/>
                <w:bCs w:val="false"/>
                <w:sz w:val="20"/>
                <w:szCs w:val="20"/>
              </w:rPr>
              <w:t xml:space="preserve">{CORRETOR_COMISSAO}</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IX – Da Mora:</w:t>
            </w:r>
          </w:p>
        </w:tc>
      </w:tr>
      <w:tr>
        <w:tc>
          <w:tcPr>
            <w:tcW w:type="dxa" w:w="9640"/>
            <w:tcBorders>
              <w:top w:val="single" w:color="888888" w:sz="4"/>
              <w:left w:val="single" w:color="888888" w:sz="4"/>
              <w:bottom w:val="single" w:color="888888" w:sz="4"/>
              <w:right w:val="single" w:color="888888" w:sz="4"/>
            </w:tcBorders>
            <w:tcMar>
              <w:top w:type="dxa" w:w="80"/>
              <w:left w:type="dxa" w:w="140"/>
              <w:bottom w:type="dxa" w:w="80"/>
              <w:right w:type="dxa" w:w="140"/>
            </w:tcMar>
          </w:tcPr>
          <w:p>
            <w:pPr>
              <w:spacing w:after="80" w:before="0" w:line="276"/>
              <w:jc w:val="both"/>
            </w:pPr>
            <w:r>
              <w:rPr>
                <w:rFonts w:ascii="Times New Roman" w:cs="Times New Roman" w:eastAsia="Times New Roman" w:hAnsi="Times New Roman"/>
                <w:b w:val="false"/>
                <w:bCs w:val="false"/>
                <w:i w:val="false"/>
                <w:iCs w:val="false"/>
                <w:color w:val="000000"/>
                <w:sz w:val="20"/>
                <w:szCs w:val="20"/>
              </w:rPr>
              <w:t xml:space="preserve">O não pagamento de qualquer prestação em seu vencimento sujeitará o(a) COMPRADOR(A) à:</w:t>
            </w:r>
          </w:p>
          <w:p>
            <w:pPr>
              <w:spacing w:after="80" w:before="60" w:line="276"/>
              <w:ind w:left="360"/>
              <w:jc w:val="both"/>
            </w:pPr>
            <w:r>
              <w:rPr>
                <w:rFonts w:ascii="Times New Roman" w:cs="Times New Roman" w:eastAsia="Times New Roman" w:hAnsi="Times New Roman"/>
                <w:b w:val="false"/>
                <w:bCs w:val="false"/>
                <w:i w:val="false"/>
                <w:iCs w:val="false"/>
                <w:color w:val="000000"/>
                <w:sz w:val="20"/>
                <w:szCs w:val="20"/>
              </w:rPr>
              <w:t xml:space="preserve">1.  JUROS DE MORA: 1% ao mês, incidente sobre o valor da parcela devida;</w:t>
            </w:r>
          </w:p>
          <w:p>
            <w:pPr>
              <w:spacing w:after="80" w:before="0" w:line="276"/>
              <w:ind w:left="360"/>
              <w:jc w:val="both"/>
            </w:pPr>
            <w:r>
              <w:rPr>
                <w:rFonts w:ascii="Times New Roman" w:cs="Times New Roman" w:eastAsia="Times New Roman" w:hAnsi="Times New Roman"/>
                <w:b w:val="false"/>
                <w:bCs w:val="false"/>
                <w:i w:val="false"/>
                <w:iCs w:val="false"/>
                <w:color w:val="000000"/>
                <w:sz w:val="20"/>
                <w:szCs w:val="20"/>
              </w:rPr>
              <w:t xml:space="preserve">2.  MULTA DE MORA: 2% incidente sobre o valor da parcela devida;</w:t>
            </w:r>
          </w:p>
          <w:p>
            <w:pPr>
              <w:spacing w:after="80" w:before="0" w:line="276"/>
              <w:ind w:left="360"/>
              <w:jc w:val="both"/>
            </w:pPr>
            <w:r>
              <w:rPr>
                <w:rFonts w:ascii="Times New Roman" w:cs="Times New Roman" w:eastAsia="Times New Roman" w:hAnsi="Times New Roman"/>
                <w:b w:val="false"/>
                <w:bCs w:val="false"/>
                <w:i w:val="false"/>
                <w:iCs w:val="false"/>
                <w:color w:val="000000"/>
                <w:sz w:val="20"/>
                <w:szCs w:val="20"/>
              </w:rPr>
              <w:t xml:space="preserve">3.  CORREÇÃO MONETÁRIA: IPCA/IBGE, e, na falta deste, INPC/IBGE;</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X – Das Consequências do Desfazimento do Contrato ou Resolução Contratual por Inadimplemento:</w:t>
            </w:r>
          </w:p>
        </w:tc>
      </w:tr>
      <w:tr>
        <w:tc>
          <w:tcPr>
            <w:tcW w:type="dxa" w:w="9640"/>
            <w:tcBorders>
              <w:top w:val="single" w:color="888888" w:sz="4"/>
              <w:left w:val="single" w:color="888888" w:sz="4"/>
              <w:bottom w:val="single" w:color="888888" w:sz="4"/>
              <w:right w:val="single" w:color="888888" w:sz="4"/>
            </w:tcBorders>
            <w:tcMar>
              <w:top w:type="dxa" w:w="80"/>
              <w:left w:type="dxa" w:w="140"/>
              <w:bottom w:type="dxa" w:w="80"/>
              <w:right w:type="dxa" w:w="140"/>
            </w:tcMar>
          </w:tcPr>
          <w:p>
            <w:pPr>
              <w:spacing w:after="80" w:before="0" w:line="276"/>
              <w:jc w:val="both"/>
            </w:pPr>
            <w:r>
              <w:rPr>
                <w:rFonts w:ascii="Times New Roman" w:cs="Times New Roman" w:eastAsia="Times New Roman" w:hAnsi="Times New Roman"/>
                <w:b w:val="false"/>
                <w:bCs w:val="false"/>
                <w:i w:val="false"/>
                <w:iCs w:val="false"/>
                <w:color w:val="000000"/>
                <w:sz w:val="20"/>
                <w:szCs w:val="20"/>
              </w:rPr>
              <w:t xml:space="preserve">10.1. O adquirente declara-se expressamente ciente de que o empreendimento objeto deste contrato está submetido ao Regime de Patrimônio de Afetação, conforme faculta o Art. 31-A da Lei nº 4.591/64. A adoção deste regime visa garantir a consecução da obra e a entrega das unidades, segregando os ativos do empreendimento do patrimônio geral da Incorporadora.</w:t>
            </w:r>
          </w:p>
          <w:p>
            <w:pPr>
              <w:spacing w:after="80" w:before="100" w:line="276"/>
              <w:jc w:val="both"/>
            </w:pPr>
            <w:r>
              <w:rPr>
                <w:rFonts w:ascii="Times New Roman" w:cs="Times New Roman" w:eastAsia="Times New Roman" w:hAnsi="Times New Roman"/>
                <w:b w:val="false"/>
                <w:bCs w:val="false"/>
                <w:i w:val="false"/>
                <w:iCs w:val="false"/>
                <w:color w:val="000000"/>
                <w:sz w:val="20"/>
                <w:szCs w:val="20"/>
              </w:rPr>
              <w:t xml:space="preserve">10.2. Em razão dessa segregação e do compromisso com a coletividade dos adquirentes, a saúde financeira da obra deve ser preservada. Por este motivo, em caso de resolução contratual por inadimplemento do(a) COMPRADOR(A), aplicam-se as penalidades previstas no Art. 67-A, § 5º da Lei nº 4.591/64 (incluído pela Lei nº 13.786/18), cujo detalhamento segue descrito na Cláusula 13 das condições gerais.</w:t>
            </w:r>
          </w:p>
          <w:p>
            <w:pPr>
              <w:spacing w:after="80" w:before="120" w:line="276"/>
              <w:jc w:val="both"/>
            </w:pPr>
            <w:r>
              <w:rPr>
                <w:rFonts w:ascii="Times New Roman" w:cs="Times New Roman" w:eastAsia="Times New Roman" w:hAnsi="Times New Roman"/>
                <w:b w:val="false"/>
                <w:bCs w:val="false"/>
                <w:i w:val="false"/>
                <w:iCs w:val="false"/>
                <w:color w:val="000000"/>
                <w:sz w:val="20"/>
                <w:szCs w:val="20"/>
              </w:rPr>
              <w:t xml:space="preserve">Ciência e concordância expressa quanto aos termos deste item 10 do Quadro Resumo, cujo detalhamento segue na cláusula 13 das condições gerais, em atenção ao §2º, do artigo 2, da LEI Nº 13.786, DE 27 DE DEZEMBRO DE 2018.</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20" w:before="120" w:line="276"/>
        <w:jc w:val="both"/>
      </w:pPr>
      <w:r>
        <w:rPr>
          <w:rFonts w:ascii="Times New Roman" w:cs="Times New Roman" w:eastAsia="Times New Roman" w:hAnsi="Times New Roman"/>
          <w:b w:val="false"/>
          <w:bCs w:val="false"/>
          <w:i w:val="false"/>
          <w:iCs w:val="false"/>
          <w:color w:val="000000"/>
          <w:sz w:val="22"/>
          <w:szCs w:val="22"/>
        </w:rPr>
        <w:t xml:space="preserve">Assinatura(s):_______________________________</w:t>
      </w:r>
    </w:p>
    <w:p>
      <w:pPr>
        <w:spacing w:after="80" w:before="0" w:line="276"/>
        <w:ind w:left="240"/>
        <w:jc w:val="both"/>
      </w:pPr>
      <w:r>
        <w:rPr>
          <w:rFonts w:ascii="Times New Roman" w:cs="Times New Roman" w:eastAsia="Times New Roman" w:hAnsi="Times New Roman"/>
          <w:b w:val="false"/>
          <w:bCs w:val="false"/>
          <w:i w:val="false"/>
          <w:iCs w:val="false"/>
          <w:color w:val="000000"/>
          <w:sz w:val="22"/>
          <w:szCs w:val="22"/>
        </w:rPr>
        <w:t xml:space="preserve">Comprador(a)</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XI – Da irrevogabilidade e irretratabilidade e do direito de arrependimento</w:t>
            </w:r>
          </w:p>
        </w:tc>
      </w:tr>
      <w:tr>
        <w:tc>
          <w:tcPr>
            <w:tcW w:type="dxa" w:w="9640"/>
            <w:tcBorders>
              <w:top w:val="single" w:color="888888" w:sz="4"/>
              <w:left w:val="single" w:color="888888" w:sz="4"/>
              <w:bottom w:val="single" w:color="888888" w:sz="4"/>
              <w:right w:val="single" w:color="888888" w:sz="4"/>
            </w:tcBorders>
            <w:tcMar>
              <w:top w:type="dxa" w:w="80"/>
              <w:left w:type="dxa" w:w="140"/>
              <w:bottom w:type="dxa" w:w="80"/>
              <w:right w:type="dxa" w:w="140"/>
            </w:tcMar>
          </w:tcPr>
          <w:p>
            <w:pPr>
              <w:spacing w:after="80" w:before="0" w:line="276"/>
              <w:jc w:val="both"/>
            </w:pPr>
            <w:r>
              <w:rPr>
                <w:rFonts w:ascii="Times New Roman" w:cs="Times New Roman" w:eastAsia="Times New Roman" w:hAnsi="Times New Roman"/>
                <w:b w:val="false"/>
                <w:bCs w:val="false"/>
                <w:i w:val="false"/>
                <w:iCs w:val="false"/>
                <w:color w:val="000000"/>
                <w:sz w:val="20"/>
                <w:szCs w:val="20"/>
              </w:rPr>
              <w:t xml:space="preserve">11.1. Este Contrato é irrevogável e irretratável, razão pela qual não cabe direito de arrependimento pelas Partes, salvo em relação à única hipótese adiante.</w:t>
            </w:r>
          </w:p>
          <w:p>
            <w:pPr>
              <w:spacing w:after="80" w:before="100" w:line="276"/>
              <w:jc w:val="both"/>
            </w:pPr>
            <w:r>
              <w:rPr>
                <w:rFonts w:ascii="Times New Roman" w:cs="Times New Roman" w:eastAsia="Times New Roman" w:hAnsi="Times New Roman"/>
                <w:b w:val="false"/>
                <w:bCs w:val="false"/>
                <w:i w:val="false"/>
                <w:iCs w:val="false"/>
                <w:color w:val="000000"/>
                <w:sz w:val="20"/>
                <w:szCs w:val="20"/>
              </w:rPr>
              <w:t xml:space="preserve">11.2. O(A) COMPRADOR(A) poderá exercer o direito de arrependimento, conforme previsto no artigo 49 da Lei 8.078/90 e inciso V do artigo 26-A da Lei 6.766/1979, desde que o presente negócio jurídico tenha sido celebrado em estandes de vendas e fora da sede da VENDEDORA, dentro do prazo improrrogável de 07 (sete) dias contados da data da assinatura do presente Instrumento, com a devolução de todos os valores eventualmente antecipados do Preço de aquisição e da comissão de corretagem (esta última, apenas se paga pelo(a) COMPRADOR(A)).</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XII – Do prazo estimado para conclusão das obras</w:t>
            </w:r>
          </w:p>
        </w:tc>
      </w:tr>
      <w:tr>
        <w:tc>
          <w:tcPr>
            <w:tcW w:type="dxa" w:w="9640"/>
            <w:tcBorders>
              <w:top w:val="single" w:color="888888" w:sz="4"/>
              <w:left w:val="single" w:color="888888" w:sz="4"/>
              <w:bottom w:val="single" w:color="888888" w:sz="4"/>
              <w:right w:val="single" w:color="888888" w:sz="4"/>
            </w:tcBorders>
            <w:tcMar>
              <w:top w:type="dxa" w:w="80"/>
              <w:left w:type="dxa" w:w="140"/>
              <w:bottom w:type="dxa" w:w="80"/>
              <w:right w:type="dxa" w:w="140"/>
            </w:tcMar>
          </w:tcPr>
          <w:p>
            <w:pPr>
              <w:spacing w:after="80" w:before="0" w:line="276"/>
              <w:jc w:val="both"/>
            </w:pPr>
            <w:r>
              <w:rPr>
                <w:rFonts w:ascii="Times New Roman" w:cs="Times New Roman" w:eastAsia="Times New Roman" w:hAnsi="Times New Roman"/>
                <w:b w:val="false"/>
                <w:bCs w:val="false"/>
                <w:color w:val="000000"/>
                <w:sz w:val="20"/>
                <w:szCs w:val="20"/>
              </w:rPr>
              <w:t xml:space="preserve">12.1. </w:t>
            </w:r>
            <w:r>
              <w:rPr>
                <w:rFonts w:ascii="Times New Roman" w:cs="Times New Roman" w:eastAsia="Times New Roman" w:hAnsi="Times New Roman"/>
                <w:b w:val="false"/>
                <w:bCs w:val="false"/>
                <w:color w:val="000000"/>
                <w:sz w:val="20"/>
                <w:szCs w:val="20"/>
              </w:rPr>
              <w:t xml:space="preserve">O prazo para entrega da edificação será de {PRAZO_ENTREGA_MESES} ({PRAZO_ENTREGA_EXTENSO}) meses, contados do início da obra, esta prevista para iniciar em {INICIO_OBRA_PREVISTO}, sendo admitida uma </w:t>
            </w:r>
            <w:r>
              <w:rPr>
                <w:rFonts w:ascii="Times New Roman" w:cs="Times New Roman" w:eastAsia="Times New Roman" w:hAnsi="Times New Roman"/>
                <w:b/>
                <w:bCs/>
                <w:color w:val="000000"/>
                <w:sz w:val="20"/>
                <w:szCs w:val="20"/>
              </w:rPr>
              <w:t xml:space="preserve">tolerância de 180 dias no prazo de entrega das unidades,</w:t>
            </w:r>
            <w:r>
              <w:rPr>
                <w:rFonts w:ascii="Times New Roman" w:cs="Times New Roman" w:eastAsia="Times New Roman" w:hAnsi="Times New Roman"/>
                <w:b w:val="false"/>
                <w:bCs w:val="false"/>
                <w:color w:val="000000"/>
                <w:sz w:val="20"/>
                <w:szCs w:val="20"/>
              </w:rPr>
              <w:t xml:space="preserve"> contadas da data de sua expiração.</w:t>
            </w:r>
          </w:p>
          <w:p>
            <w:pPr>
              <w:spacing w:after="80" w:before="100" w:line="276"/>
              <w:jc w:val="both"/>
            </w:pPr>
            <w:r>
              <w:rPr>
                <w:rFonts w:ascii="Times New Roman" w:cs="Times New Roman" w:eastAsia="Times New Roman" w:hAnsi="Times New Roman"/>
                <w:b w:val="false"/>
                <w:bCs w:val="false"/>
                <w:i w:val="false"/>
                <w:iCs w:val="false"/>
                <w:color w:val="000000"/>
                <w:sz w:val="20"/>
                <w:szCs w:val="20"/>
              </w:rPr>
              <w:t xml:space="preserve">12.2. Este prazo será prorrogado, ainda, pela VENDEDORA, contando, desde já, com a anuência do/a COMPRADOR(A), sem que incida para ela qualquer pena, sanção ou multa, na superveniência de motivos de força maior estabelecidos em lei ou em caso fortuito.</w:t>
            </w:r>
          </w:p>
          <w:p>
            <w:pPr>
              <w:spacing w:after="80" w:before="100" w:line="276"/>
              <w:jc w:val="both"/>
            </w:pPr>
            <w:r>
              <w:rPr>
                <w:rFonts w:ascii="Times New Roman" w:cs="Times New Roman" w:eastAsia="Times New Roman" w:hAnsi="Times New Roman"/>
                <w:b w:val="false"/>
                <w:bCs w:val="false"/>
                <w:i w:val="false"/>
                <w:iCs w:val="false"/>
                <w:color w:val="000000"/>
                <w:sz w:val="20"/>
                <w:szCs w:val="20"/>
              </w:rPr>
              <w:t xml:space="preserve">12.4. Se a VENDEDORA não concluir a obra no prazo estabelecido, após se vencer o prazo de tolerância acima avençado, e não tendo ocorrido a prorrogação por motivo de força maior, pagará ao COMPRADOR(A), a título de pena convencional, a importância que equivaler a 0,2% (dois décimos percentuais) do preço efetivamente já pago, por mês ou fração de mês de atraso.</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XIII – Do prazo para quitação das obrigações pelo adquirente após a obtenção do termo de vistoria de obras</w:t>
            </w:r>
          </w:p>
        </w:tc>
      </w:tr>
      <w:tr>
        <w:tc>
          <w:tcPr>
            <w:tcW w:type="dxa" w:w="9640"/>
            <w:tcBorders>
              <w:top w:val="single" w:color="888888" w:sz="4"/>
              <w:left w:val="single" w:color="888888" w:sz="4"/>
              <w:bottom w:val="single" w:color="888888" w:sz="4"/>
              <w:right w:val="single" w:color="888888" w:sz="4"/>
            </w:tcBorders>
            <w:tcMar>
              <w:top w:type="dxa" w:w="70"/>
              <w:left w:type="dxa" w:w="120"/>
              <w:bottom w:type="dxa" w:w="70"/>
              <w:right w:type="dxa" w:w="120"/>
            </w:tcMar>
            <w:vAlign w:val="center"/>
          </w:tcPr>
          <w:p>
            <w:pPr>
              <w:spacing w:line="264"/>
              <w:jc w:val="both"/>
            </w:pPr>
            <w:r>
              <w:rPr>
                <w:rFonts w:ascii="Times New Roman" w:cs="Times New Roman" w:eastAsia="Times New Roman" w:hAnsi="Times New Roman"/>
                <w:b w:val="false"/>
                <w:bCs w:val="false"/>
                <w:sz w:val="20"/>
                <w:szCs w:val="20"/>
              </w:rPr>
              <w:t xml:space="preserve">Considerando a forma de pagamento ajustada, esta não sofrerá alteração ainda que ocorra a entrega da obra antes da quitação.</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XIV – Informações acerca dos ônus que recaiam sobre o imóvel</w:t>
            </w:r>
          </w:p>
        </w:tc>
      </w:tr>
      <w:tr>
        <w:tc>
          <w:tcPr>
            <w:tcW w:type="dxa" w:w="9640"/>
            <w:tcBorders>
              <w:top w:val="single" w:color="888888" w:sz="4"/>
              <w:left w:val="single" w:color="888888" w:sz="4"/>
              <w:bottom w:val="single" w:color="888888" w:sz="4"/>
              <w:right w:val="single" w:color="888888" w:sz="4"/>
            </w:tcBorders>
            <w:tcMar>
              <w:top w:type="dxa" w:w="70"/>
              <w:left w:type="dxa" w:w="120"/>
              <w:bottom w:type="dxa" w:w="70"/>
              <w:right w:type="dxa" w:w="120"/>
            </w:tcMar>
            <w:vAlign w:val="center"/>
          </w:tcPr>
          <w:p>
            <w:pPr>
              <w:spacing w:line="264"/>
              <w:jc w:val="both"/>
            </w:pPr>
            <w:r>
              <w:rPr>
                <w:rFonts w:ascii="Times New Roman" w:cs="Times New Roman" w:eastAsia="Times New Roman" w:hAnsi="Times New Roman"/>
                <w:b w:val="false"/>
                <w:bCs w:val="false"/>
                <w:sz w:val="20"/>
                <w:szCs w:val="20"/>
              </w:rPr>
              <w:t xml:space="preserve">Sobre o imóvel, objeto deste contrato, não recaem ônus e/ou garantia real.</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XV – Dos Tributos</w:t>
            </w:r>
          </w:p>
        </w:tc>
      </w:tr>
      <w:tr>
        <w:tc>
          <w:tcPr>
            <w:tcW w:type="dxa" w:w="9640"/>
            <w:tcBorders>
              <w:top w:val="single" w:color="888888" w:sz="4"/>
              <w:left w:val="single" w:color="888888" w:sz="4"/>
              <w:bottom w:val="single" w:color="888888" w:sz="4"/>
              <w:right w:val="single" w:color="888888" w:sz="4"/>
            </w:tcBorders>
            <w:tcMar>
              <w:top w:type="dxa" w:w="70"/>
              <w:left w:type="dxa" w:w="120"/>
              <w:bottom w:type="dxa" w:w="70"/>
              <w:right w:type="dxa" w:w="120"/>
            </w:tcMar>
            <w:vAlign w:val="center"/>
          </w:tcPr>
          <w:p>
            <w:pPr>
              <w:spacing w:line="264"/>
              <w:jc w:val="both"/>
            </w:pPr>
            <w:r>
              <w:rPr>
                <w:rFonts w:ascii="Times New Roman" w:cs="Times New Roman" w:eastAsia="Times New Roman" w:hAnsi="Times New Roman"/>
                <w:b w:val="false"/>
                <w:bCs w:val="false"/>
                <w:sz w:val="20"/>
                <w:szCs w:val="20"/>
              </w:rPr>
              <w:t xml:space="preserve">O pagamento do IPTU – Imposto Predial e Territorial Urbano, uma vez lançado pela Prefeitura Municipal de forma individualizada e quaisquer outros tributos que incidam ou venham a incidir em relação à unidade de apartamento, desde que possuam fato gerador posterior à presente, serão de responsabilidade da VENDEDORA, a partir da data de assinatura deste Contrato até a entrega das chaves ao/a COMPRADOR(A).</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gridSpan w:val="1"/>
            <w:tcBorders>
              <w:top w:val="single" w:color="888888" w:sz="4"/>
              <w:left w:val="single" w:color="888888" w:sz="4"/>
              <w:bottom w:val="single" w:color="888888" w:sz="4"/>
              <w:right w:val="single" w:color="888888" w:sz="4"/>
            </w:tcBorders>
            <w:shd w:fill="2E5F8A" w:val="clear"/>
            <w:tcMar>
              <w:top w:type="dxa" w:w="80"/>
              <w:left w:type="dxa" w:w="140"/>
              <w:bottom w:type="dxa" w:w="80"/>
              <w:right w:type="dxa" w:w="140"/>
            </w:tcMar>
            <w:vAlign w:val="center"/>
          </w:tcPr>
          <w:p>
            <w:pPr>
              <w:jc w:val="center"/>
            </w:pPr>
            <w:r>
              <w:rPr>
                <w:rFonts w:ascii="Times New Roman" w:cs="Times New Roman" w:eastAsia="Times New Roman" w:hAnsi="Times New Roman"/>
                <w:b/>
                <w:bCs/>
                <w:color w:val="FFFFFF"/>
                <w:sz w:val="20"/>
                <w:szCs w:val="20"/>
              </w:rPr>
              <w:t xml:space="preserve">ITEM XVI – Da eficácia da presente avença</w:t>
            </w:r>
          </w:p>
        </w:tc>
      </w:tr>
      <w:tr>
        <w:tc>
          <w:tcPr>
            <w:tcW w:type="dxa" w:w="9640"/>
            <w:tcBorders>
              <w:top w:val="single" w:color="888888" w:sz="4"/>
              <w:left w:val="single" w:color="888888" w:sz="4"/>
              <w:bottom w:val="single" w:color="888888" w:sz="4"/>
              <w:right w:val="single" w:color="888888" w:sz="4"/>
            </w:tcBorders>
            <w:tcMar>
              <w:top w:type="dxa" w:w="80"/>
              <w:left w:type="dxa" w:w="140"/>
              <w:bottom w:type="dxa" w:w="80"/>
              <w:right w:type="dxa" w:w="140"/>
            </w:tcMar>
          </w:tcPr>
          <w:p>
            <w:pPr>
              <w:spacing w:after="80" w:before="0" w:line="276"/>
              <w:jc w:val="both"/>
            </w:pPr>
            <w:r>
              <w:rPr>
                <w:rFonts w:ascii="Times New Roman" w:cs="Times New Roman" w:eastAsia="Times New Roman" w:hAnsi="Times New Roman"/>
                <w:b w:val="false"/>
                <w:bCs w:val="false"/>
                <w:i w:val="false"/>
                <w:iCs w:val="false"/>
                <w:color w:val="000000"/>
                <w:sz w:val="20"/>
                <w:szCs w:val="20"/>
              </w:rPr>
              <w:t xml:space="preserve">16.1. As obrigações de comprar e de vender aqui convencionados somente serão exigíveis entre as Partes, após a efetiva compensação do valor de Entrada, prevista no Item VI.</w:t>
            </w:r>
          </w:p>
          <w:p>
            <w:pPr>
              <w:spacing w:after="80" w:before="80" w:line="276"/>
              <w:jc w:val="both"/>
            </w:pPr>
            <w:r>
              <w:rPr>
                <w:rFonts w:ascii="Times New Roman" w:cs="Times New Roman" w:eastAsia="Times New Roman" w:hAnsi="Times New Roman"/>
                <w:b w:val="false"/>
                <w:bCs w:val="false"/>
                <w:i w:val="false"/>
                <w:iCs w:val="false"/>
                <w:color w:val="000000"/>
                <w:sz w:val="20"/>
                <w:szCs w:val="20"/>
              </w:rPr>
              <w:t xml:space="preserve">16.2. Não sendo implementada a condição estabelecida acima, o presente compromisso restará resilido, mediante denúncia contratual unilateral por parte da VENDEDORA ao/a COMPRADOR(A), para todos os fins e efeitos de direito.</w:t>
            </w:r>
          </w:p>
          <w:p>
            <w:pPr>
              <w:spacing w:after="80" w:before="120" w:line="276"/>
              <w:jc w:val="both"/>
            </w:pPr>
            <w:r>
              <w:rPr>
                <w:rFonts w:ascii="Times New Roman" w:cs="Times New Roman" w:eastAsia="Times New Roman" w:hAnsi="Times New Roman"/>
                <w:b w:val="false"/>
                <w:bCs w:val="false"/>
                <w:i w:val="false"/>
                <w:iCs w:val="false"/>
                <w:color w:val="000000"/>
                <w:sz w:val="20"/>
                <w:szCs w:val="20"/>
              </w:rPr>
              <w:t xml:space="preserve">Este quadro-resumo visa atender o disposto no art. 35-A da Lei n. 4.594/64 e deve ser analisado em conjunto com as demais cláusulas contratuais gerais a seguir dispostas.</w:t>
            </w:r>
          </w:p>
        </w:tc>
      </w:tr>
    </w:tbl>
    <w:p>
      <w:r>
        <w:br w:type="page"/>
      </w:r>
    </w:p>
    <w:p>
      <w:pPr>
        <w:spacing w:after="80" w:before="200" w:line="276"/>
        <w:jc w:val="center"/>
      </w:pPr>
      <w:r>
        <w:rPr>
          <w:rFonts w:ascii="Times New Roman" w:cs="Times New Roman" w:eastAsia="Times New Roman" w:hAnsi="Times New Roman"/>
          <w:b/>
          <w:bCs/>
          <w:i w:val="false"/>
          <w:iCs w:val="false"/>
          <w:color w:val="000000"/>
          <w:sz w:val="24"/>
          <w:szCs w:val="24"/>
        </w:rPr>
        <w:t xml:space="preserve">CONTRATO DE PROMESSA DE VENDA E COMPRA</w:t>
      </w:r>
    </w:p>
    <w:p>
      <w:pPr>
        <w:spacing w:after="80" w:before="0" w:line="276"/>
        <w:jc w:val="center"/>
      </w:pPr>
      <w:r>
        <w:rPr>
          <w:rFonts w:ascii="Times New Roman" w:cs="Times New Roman" w:eastAsia="Times New Roman" w:hAnsi="Times New Roman"/>
          <w:b w:val="false"/>
          <w:bCs w:val="false"/>
          <w:i/>
          <w:iCs/>
          <w:color w:val="000000"/>
          <w:sz w:val="20"/>
          <w:szCs w:val="20"/>
        </w:rPr>
        <w:t xml:space="preserve">Cláusulas Gerais do Instrumento Particular de Promessa de Compra e Venda e outros pactos</w:t>
      </w:r>
    </w:p>
    <w:p>
      <w:pPr>
        <w:spacing w:after="80" w:before="0" w:line="276"/>
        <w:jc w:val="center"/>
      </w:pPr>
      <w:r>
        <w:rPr>
          <w:rFonts w:ascii="Times New Roman" w:cs="Times New Roman" w:eastAsia="Times New Roman" w:hAnsi="Times New Roman"/>
          <w:b/>
          <w:bCs/>
          <w:i w:val="false"/>
          <w:iCs w:val="false"/>
          <w:color w:val="000000"/>
          <w:sz w:val="22"/>
          <w:szCs w:val="22"/>
        </w:rPr>
        <w:t xml:space="preserve">Unidade de {UNIDADE_TIPO} nº {UNIDADE_NUM}</w:t>
      </w:r>
    </w:p>
    <w:p>
      <w:pPr>
        <w:spacing w:after="160" w:before="80" w:line="276"/>
        <w:jc w:val="center"/>
      </w:pPr>
      <w:r>
        <w:rPr>
          <w:rFonts w:ascii="Times New Roman" w:cs="Times New Roman" w:eastAsia="Times New Roman" w:hAnsi="Times New Roman"/>
          <w:b/>
          <w:bCs/>
          <w:i w:val="false"/>
          <w:iCs w:val="false"/>
          <w:color w:val="000000"/>
          <w:sz w:val="22"/>
          <w:szCs w:val="22"/>
        </w:rPr>
        <w:t xml:space="preserve">NORMAS GERAIS</w:t>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Pelo presente instrumento particular, as Partes enunciadas e qualificadas nos Itens I e II do Quadro Resumo, ajustam este Contrato, tendo por objeto a Unidade de {UNIDADE_TIPO} descrita no Item IV, pelo Preço certo e ajustado no Item V do Quadro Resumo, observado as seguintes cláusulas e condições:</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1. DO IMÓVEL E DO EMPREENDIMENTO IMOBILIÁRIO</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1.1. A VENDEDORA é a única e exclusiva senhora e legítima proprietária do imóvel urbano localizado na {EMP_ENDERECO}, perfeitamente descrito e caracterizado na matrícula nº {EMP_MATRICULA}, do Registro de Imóveis da Comarca de {EMP_COMARCA}/SC ("Imóvel"), onde promoverá um empreendimento denominado {EMP_NOME} ("Empreendimento"), devidamente incorporado junto à matrícula do imóvel sob nº {EMP_INCORPORACAO}, em regime de patrimônio de afetação, com futura instituição de condomínio editalício, nos moldes previstos na Lei Federal nº 4.591 de 16 de dezembro de 1964.</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1.2. Referido imóvel encontra-se, na presente data, absolutamente livre e desembaraçado de quaisquer pessoas e coisas, bem como de qualquer ônus real ou pessoal, hipoteca legal ou convencional, foro, pensões e servidões, dívidas, arrestos, sequestros, citações em ações reais ou pessoais reipersecutórias, inexistindo, ainda, quaisquer pendências judiciais ou extrajudiciais que impeçam a sua livre disponibilidade, encontrando-se, ademais, quites com todos e quaisquer tributos fiscais incidentes sobre os referidos Imóveis e isentos de quaisquer multas e penalidades fiscais de qualquer natureza.</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1.3. A descrição da unidade de apartamento objeto da presente compra e venda assim como do empreendimento encontra-se devidamente descrita no memorial descritivo em anexo.</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2. DA COMPRA E VENDA E FORMA DE PAGAMENTO</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2.1. Pelo presente instrumento e regular forma de direito, a VENDEDORA se compromete a vender o Imóvel ao/a COMPRADOR(A), que se compromete a adquiri-lo, completamente livre e desembaraçado de dívidas, litígios, ônus ou restrições, reais ou pessoais, judiciais ou extrajudiciais, e de tributos de qualquer natureza.</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2.2. O Imóvel é alienado pelo Preço, certo e ajustado, no Item VI do Quadro Resumo, sendo certo que o Preço do Imóvel, acima referido, foi originariamente estabelecido para pagamento à vista, na dia da assinatura deste instrumento, mas ante o interesse do(a) COMPRADOR(A) de pagá-lo a prazo, e observado o disposto no caput, a VENDEDORA concorda com esta modalidade de pagamento.</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2.3. O Preço pactuado será pago pelo(a) COMPRADOR(A) à VENDEDORA em parcelas, cujos valores e vencimentos são ajustados no item VI do Quadro Resumo.</w:t>
      </w:r>
    </w:p>
    <w:p>
      <w:pPr>
        <w:spacing w:after="80" w:before="100" w:line="276"/>
        <w:ind w:left="360"/>
        <w:jc w:val="both"/>
      </w:pPr>
      <w:r>
        <w:rPr>
          <w:rFonts w:ascii="Times New Roman" w:cs="Times New Roman" w:eastAsia="Times New Roman" w:hAnsi="Times New Roman"/>
          <w:b w:val="false"/>
          <w:bCs w:val="false"/>
          <w:i w:val="false"/>
          <w:iCs w:val="false"/>
          <w:color w:val="000000"/>
          <w:sz w:val="22"/>
          <w:szCs w:val="22"/>
        </w:rPr>
        <w:t xml:space="preserve">2.3.1. As parcelas do Preço pagas em espécie às VENDEDORA, deverão ser obrigatoriamente acompanhadas da entrega do competente recibo de pagamento, como prova de quitação do preço. Em caso de pagamento por boleto bancário ou transferência, o comprovante de pagamento respectivo servirá como prova da quitação.</w:t>
      </w:r>
    </w:p>
    <w:p>
      <w:pPr>
        <w:spacing w:after="80" w:before="100" w:line="276"/>
        <w:ind w:left="360"/>
        <w:jc w:val="both"/>
      </w:pPr>
      <w:r>
        <w:rPr>
          <w:rFonts w:ascii="Times New Roman" w:cs="Times New Roman" w:eastAsia="Times New Roman" w:hAnsi="Times New Roman"/>
          <w:b w:val="false"/>
          <w:bCs w:val="false"/>
          <w:i w:val="false"/>
          <w:iCs w:val="false"/>
          <w:color w:val="000000"/>
          <w:sz w:val="22"/>
          <w:szCs w:val="22"/>
        </w:rPr>
        <w:t xml:space="preserve">2.3.2. Fica estabelecido que a falta de recebimento de aviso de vencimento não exime o/a COMPRADOR(A) de efetuar qualquer dos pagamentos previstos no presente instrumento, nem justifica o atraso em seu pagamento.</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2.4. As alterações de endereço para correspondência, física ou eletrônica, devem ser informadas diretamente à VENDEDORA, com máxima antecedência possível, para que não haja prejuízo no envio dos boletos.</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2.5. O valor efetivamente devido pelo(a) Comprador(a) será apurado mediante a multiplicação simples do valor numérico de CUB/SC atribuído à cada parcela nos itens acima, pelo valor monetário do Índice Residencial Médio do CUB/SC para o mês vigente na data do vencimento da parcela, na forma em que divulgado pelo SINDUSCON/SC. Somente considerar-se-á a correção positiva do CUB/SC no período.</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3. DAS CONDIÇÕES DE ENTREGA E ESPECIFICAÇÕES DO IMÓVEL</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3.1. As Obras de Infraestrutura do Empreendimento serão concluídas de acordo com o cronograma estabelecido no Item XII do Quadro Resumo observado o prazo de tolerância de até 180 (cento e oitenta) dias para a sua entrega.</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3.2. A responsabilidade da VENDEDORA para com o/a COMPRADOR(A) está limitada à execução das obras de infraestrutura que permitam às concessionárias de serviços públicos a conexão das novas redes e equipamentos às redes gerais.</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3.4. Fica estabelecido que o imóvel prometido em compra e venda, seja tido como pronto e acabado desde que esteja concedido o seu "termo de recebimento" ou que tenha condições de habitabilidade, e mesmo que na ocasião ainda existam alguns serviços de acabamentos a serem feitos nas demais unidades, circunstâncias essas que não poderão servir de pretexto para o/a COMPRADOR(A) se recusar a receber as chaves das unidades objeto desta escritura.</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3.8. A VENDEDORA declara que o bem objeto do presente pacto e todo o empreendimento imobiliário será construído conforme os projetos aprovados, cujas especificações de acabamento, constante no memorial descritivo, integrarão este contrato, sobre o qual o/a COMPRADOR(A) declara que tem pleno conhecimento.</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3.9. Cabe o/a COMPRADOR(A), no ato da entrega das chaves, vistoriar o imóvel e atestar suas perfeitas condições de uso e habitabilidade. Constatado qualquer vício de construção ou defeito de instalações prediais, estes devem ser comunicados por escrito à VENDEDORA que deverá solucionar o problema dentro do prazo máximo de 30 (trinta) dias.</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4. DO INADIMPLEMENTO E DA MORA</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4.1. No caso de atraso no pagamento das parcelas, o/a COMPRADOR(A) será notificado e terá o prazo de 30 (trinta) dias para purgar a mora, sob pena de caracterizar justa causa para rescisão contratual, sem prejuízo (i) da inclusão do nome do/a COMPRADOR(A) nos órgãos de proteção ao crédito; (ii) da imediata incidência de uma multa de 2% (dois por cento) sobre o valor do débito, ou percentual maior que vier a ser permitido por lei; (iii) além de juros de mora de 1% (um por cento) ao mês ou fração de mês; (iv) caso seja necessária a intervenção de advogado, despesas com honorários advocatícios em 10% (dez por cento) do valor da dívida atualizada.</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4.2. Ainda, o atraso de qualquer parcela por prazo superior a 60 (sessenta) dias, independentemente de notificação, importará igualmente na pena de resolução do contrato por inadimplemento do(a) COMPRADOR(A).</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4.4. Após constituída o/a COMPRADOR(A) em mora e deixando a mesma de purgá-la dentro do prazo contratual de 30 (trinta) dias, restará determinado de pleno direito e a juízo exclusivo da VENDEDORA: a) a rescisão imediata do presente instrumento, nos termos do quanto disposto, abaixo, ou b) o imediato vencimento de toda a dívida.</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5. DA POSSE</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5.1. A VENDEDORA, neste ato, cede e transfere o/a COMPRADOR(A) a posse precária do Imóvel reservando para si a posse indireta. Assim, após a entrega das chaves, o/a COMPRADOR(A) poderá executar no Imóvel benfeitorias desde que: (i) esteja em dia com suas obrigações contratuais e sejam observadas as condições previstas neste Contrato; e (ii) as normas e legislação vigentes. A posse, entretanto, somente será exercida pelo/a COMPRADOR(A) em caráter de posse direta e plena com o adimplemento total do preço ajustado.</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6. DA ESCRITURA DE COMPRA E VENDA</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6.1. A VENDEDORA obriga-se a outorgar o/a COMPRADOR(A), a escritura definitiva de compra e venda quando houver recebido o total do Preço estipulado e estiverem cumpridas todas as demais obrigações neste Contrato.</w:t>
      </w:r>
    </w:p>
    <w:p>
      <w:pPr>
        <w:spacing w:after="80" w:before="100" w:line="276"/>
        <w:ind w:left="360"/>
        <w:jc w:val="both"/>
      </w:pPr>
      <w:r>
        <w:rPr>
          <w:rFonts w:ascii="Times New Roman" w:cs="Times New Roman" w:eastAsia="Times New Roman" w:hAnsi="Times New Roman"/>
          <w:b w:val="false"/>
          <w:bCs w:val="false"/>
          <w:i w:val="false"/>
          <w:iCs w:val="false"/>
          <w:color w:val="000000"/>
          <w:sz w:val="22"/>
          <w:szCs w:val="22"/>
        </w:rPr>
        <w:t xml:space="preserve">6.1.1. Todas as despesas com escrituras, registros, impostos de transmissão intervivos – ITBI e outras despesas existentes, necessárias ao registro deste Contrato, lavratura e registro da escritura definitiva, correrão por conta exclusiva do/a COMPRADOR(A).</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6.2. Decorrido o prazo de 30 (trinta) dias depois de efetuado o pagamento da última prestação e satisfeitas todas as cláusulas e condições deste, ou ainda por ocasião da celebração de contrato de financiamento junto a financeira, poderá a VENDEDORA notificar o/a COMPRADOR(A), através de carta com entrega comprovada, para receber escritura definitiva de venda e compra no prazo de 30 (trinta) dias.</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7. DAS DISPOSIÇÕES CONDOMINIAIS</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7.1. O/a COMPRADOR(A), se obriga por si e seus dependentes, herdeiros ou sucessores, empregados ou visitantes, a cumprir e a fazer cumprir as regras da Convenção de Condomínio da edificação cuja minuta integra ou integrará o memorial de incorporação devidamente arquivado no Cartório de Imóveis, pois concorda(m) expressamente, com todas as suas disposições, sem exceção ou oposição de qualquer espécie ou natureza.</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8. DA AMORTIZAÇÃO E DA LIQUIDAÇÃO ANTECIPADA</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8.1. É assegurado a COMPRADOR(A), desde que rigorosamente em dia com suas obrigações, a amortização extraordinária ou liquidação do saldo devedor.</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9. DAS DESPESAS</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9.1. A partir da entrega das chaves da unidade autônoma, correrão por conta do/a COMPRADOR(A) todas as despesas e taxas condominiais, nos termos de sua Convenção de Condomínio e, ainda, dos tributos incidentes sobre o imóvel, conforme legislação pertinente.</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9.3. É de inteira responsabilidade do/a COMPRADOR(A) as despesas referentes ao Imposto de Transmissão Inter Vivos – ITBI-ITIV, bem como as despesas decorrentes da preparação das guias de recolhimento, cuja importância será recolhida em favor da Fazenda Pública do Município, atinente a transação imobiliária, objeto do Contrato Particular de Compra e Venda.</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10. DA CESSÃO DE DIREITOS E OBRIGAÇÕES</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10.1. É facultado à VENDEDORA, a seu critério, utilizar-se dos mecanismos de antecipação de recebíveis existentes para antecipação total ou parcial do crédito que lhe cabe na alienação das unidades de apartamento do Empreendimento, a qualquer momento e sem que seja necessário, por ocasião da antecipação dos recebíveis, qualquer tipo de confirmação e/ou autorização do/a COMPRADOR(A) nesse sentido.</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10.3. Até a quitação integral do preço ajustado, é vedado ao(à) COMPRADOR(A) ceder, prometer ceder ou, de qualquer forma, transferir, gratuita ou onerosamente, a qualquer título, os direitos e obrigações oriundos deste Contrato, sem a prévia e expressa anuência da VENDEDORA, a qual deverá ser formalizada por escrito no próprio instrumento de cessão ou em documento apartado.</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11. DA CONDIÇÃO SUSPENSIVA</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11.1. As obrigações de comprar e de vender aqui convencionadas somente serão exigíveis entre as Partes, após a efetiva compensação do valor referente à parcela indicada como Sinal e Entrada(s) no Item VI do Quadro Resumo.</w:t>
      </w:r>
    </w:p>
    <w:p>
      <w:pPr>
        <w:spacing w:after="80" w:before="200" w:line="276"/>
        <w:jc w:val="center"/>
      </w:pPr>
      <w:r>
        <w:rPr>
          <w:rFonts w:ascii="Times New Roman" w:cs="Times New Roman" w:eastAsia="Times New Roman" w:hAnsi="Times New Roman"/>
          <w:b w:val="false"/>
          <w:bCs w:val="false"/>
          <w:i w:val="false"/>
          <w:iCs w:val="false"/>
          <w:color w:val="000000"/>
          <w:sz w:val="22"/>
          <w:szCs w:val="22"/>
        </w:rPr>
        <w:t xml:space="preserve">Comprador(a)                            Vendedora</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12. DO MATERIAL PUBLICITÁRIO</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12.1. O/a COMPRADOR(A), desde logo, declaram saber que as imagens, as plantas, os desenhos constantes do material publicitário e/ou maquete do Empreendimento são apenas ilustrativos, servindo tão-somente como mecanismo de informação e como modelo seguido nas execuções das obras.</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13. DA RESCISÃO CONTRATUAL</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13.1. São motivos de rescisão contratual:</w:t>
      </w:r>
    </w:p>
    <w:p>
      <w:pPr>
        <w:spacing w:after="80" w:before="0" w:line="276"/>
        <w:ind w:left="360"/>
        <w:jc w:val="both"/>
      </w:pPr>
      <w:r>
        <w:rPr>
          <w:rFonts w:ascii="Times New Roman" w:cs="Times New Roman" w:eastAsia="Times New Roman" w:hAnsi="Times New Roman"/>
          <w:b w:val="false"/>
          <w:bCs w:val="false"/>
          <w:i w:val="false"/>
          <w:iCs w:val="false"/>
          <w:color w:val="000000"/>
          <w:sz w:val="22"/>
          <w:szCs w:val="22"/>
        </w:rPr>
        <w:t xml:space="preserve">a) O atraso de pagamento, independente de notificação, de qualquer parcela por prazo igual ou superior a 60 (sessenta) dias de seu vencimento;</w:t>
      </w:r>
    </w:p>
    <w:p>
      <w:pPr>
        <w:spacing w:after="80" w:before="80" w:line="276"/>
        <w:ind w:left="360"/>
        <w:jc w:val="both"/>
      </w:pPr>
      <w:r>
        <w:rPr>
          <w:rFonts w:ascii="Times New Roman" w:cs="Times New Roman" w:eastAsia="Times New Roman" w:hAnsi="Times New Roman"/>
          <w:b w:val="false"/>
          <w:bCs w:val="false"/>
          <w:i w:val="false"/>
          <w:iCs w:val="false"/>
          <w:color w:val="000000"/>
          <w:sz w:val="22"/>
          <w:szCs w:val="22"/>
        </w:rPr>
        <w:t xml:space="preserve">b) A não purgação da mora no prazo de 30 (trinta) dias contados do recebimento de notificação encaminhada para tanto;</w:t>
      </w:r>
    </w:p>
    <w:p>
      <w:pPr>
        <w:spacing w:after="80" w:before="80" w:line="276"/>
        <w:ind w:left="360"/>
        <w:jc w:val="both"/>
      </w:pPr>
      <w:r>
        <w:rPr>
          <w:rFonts w:ascii="Times New Roman" w:cs="Times New Roman" w:eastAsia="Times New Roman" w:hAnsi="Times New Roman"/>
          <w:b w:val="false"/>
          <w:bCs w:val="false"/>
          <w:i w:val="false"/>
          <w:iCs w:val="false"/>
          <w:color w:val="000000"/>
          <w:sz w:val="22"/>
          <w:szCs w:val="22"/>
        </w:rPr>
        <w:t xml:space="preserve">c) O descumprimento de qualquer das obrigações ora assumidas mesmo após competente interpelação;</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13.2. Resolvido de pleno direito o presente Contrato em razão do inadimplemento do/a COMPRADOR(A), fica desde logo convencionado que o/a COMPRADOR(A) fará jus à restituição das quantias pagas à VENDEDORA, deduzidos os encargos previstos neste instrumento, sendo eles:</w:t>
      </w:r>
    </w:p>
    <w:p>
      <w:pPr>
        <w:spacing w:after="80" w:before="80" w:line="276"/>
        <w:ind w:left="360"/>
        <w:jc w:val="both"/>
      </w:pPr>
      <w:r>
        <w:rPr>
          <w:rFonts w:ascii="Times New Roman" w:cs="Times New Roman" w:eastAsia="Times New Roman" w:hAnsi="Times New Roman"/>
          <w:b w:val="false"/>
          <w:bCs w:val="false"/>
          <w:i w:val="false"/>
          <w:iCs w:val="false"/>
          <w:color w:val="000000"/>
          <w:sz w:val="22"/>
          <w:szCs w:val="22"/>
        </w:rPr>
        <w:t xml:space="preserve">a) cláusula penal compensatória equivalente a 50% (cinquenta por cento) do valor total pago, nos termos do artigo 67-A, II c/c § 5º, da Lei n. 4.591/64, considerando que o empreendimento é submetido ao regime do patrimônio de afetação, previsto nos arts. 31-A a 31-F da citada lei;</w:t>
      </w:r>
    </w:p>
    <w:p>
      <w:pPr>
        <w:spacing w:after="80" w:before="80" w:line="276"/>
        <w:ind w:left="360"/>
        <w:jc w:val="both"/>
      </w:pPr>
      <w:r>
        <w:rPr>
          <w:rFonts w:ascii="Times New Roman" w:cs="Times New Roman" w:eastAsia="Times New Roman" w:hAnsi="Times New Roman"/>
          <w:b w:val="false"/>
          <w:bCs w:val="false"/>
          <w:i w:val="false"/>
          <w:iCs w:val="false"/>
          <w:color w:val="000000"/>
          <w:sz w:val="22"/>
          <w:szCs w:val="22"/>
        </w:rPr>
        <w:t xml:space="preserve">b) as multas e os juros moratórios eventualmente pagos por prestações em atraso;</w:t>
      </w:r>
    </w:p>
    <w:p>
      <w:pPr>
        <w:spacing w:after="80" w:before="80" w:line="276"/>
        <w:ind w:left="360"/>
        <w:jc w:val="both"/>
      </w:pPr>
      <w:r>
        <w:rPr>
          <w:rFonts w:ascii="Times New Roman" w:cs="Times New Roman" w:eastAsia="Times New Roman" w:hAnsi="Times New Roman"/>
          <w:b w:val="false"/>
          <w:bCs w:val="false"/>
          <w:i w:val="false"/>
          <w:iCs w:val="false"/>
          <w:color w:val="000000"/>
          <w:sz w:val="22"/>
          <w:szCs w:val="22"/>
        </w:rPr>
        <w:t xml:space="preserve">g) Comissão de corretagem eventualmente paga, nos termos do artigo 67-A, inciso I, da Lei nº 4.591/64;</w:t>
      </w:r>
    </w:p>
    <w:p>
      <w:pPr>
        <w:spacing w:after="80" w:before="80" w:line="276"/>
        <w:ind w:left="360"/>
        <w:jc w:val="both"/>
      </w:pPr>
      <w:r>
        <w:rPr>
          <w:rFonts w:ascii="Times New Roman" w:cs="Times New Roman" w:eastAsia="Times New Roman" w:hAnsi="Times New Roman"/>
          <w:b w:val="false"/>
          <w:bCs w:val="false"/>
          <w:i w:val="false"/>
          <w:iCs w:val="false"/>
          <w:color w:val="000000"/>
          <w:sz w:val="22"/>
          <w:szCs w:val="22"/>
        </w:rPr>
        <w:t xml:space="preserve">h) honorários advocatícios no percentual de 10% (dez por cento) caso a rescisão seja administrativa, e 20% (vinte por cento) sobre o valor atualizado do contrato caso haja necessidade de ingresso na esfera judicial.</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13.3. Eventual saldo favorável ao(à) COMPRADOR(A) será restituído em até 12 (doze) parcelas mensais, sendo a primeira paga no prazo de até 30 (trinta) dias contados da expedição do "Habite-se" ou documento equivalente expedido pelo órgão público municipal competente, considerando a adoção do regime do patrimônio de afetação, nos termos do artigo 67-A, § 5º, da Lei nº 4.591/64.</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14. DO TRATAMENTO DE DADOS</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14.1. Para os fins aqui estabelecidos, dados pessoais são as informações relacionadas o/a COMPRADOR(A), pessoa natural, e que possam identificá-lo ou torná-lo identificável, na forma prevista no inciso I do artigo 5º da Lei nº 13.709 de 14/08/2018 ("Lei Geral de Proteção de Dados Pessoais").</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14.2. Os dados pessoais transmitidos pelo(a) COMPRADOR(A), necessários à realização da análise de crédito, formalização e execução do negócio descrito no presente contrato, serão tratados pela VENDEDORA, com base nos incisos V e X do artigo 7º da mencionada Lei Geral de Proteção de Dados, especialmente para atingimento das finalidades de procedimentos preliminares relacionados ao contrato, sua execução e proteção do crédito, pelo prazo necessário à conclusão do objeto definido nesse Contrato.</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14.3. A responsabilidade da VENDEDORA está relacionada exclusivamente aos dados pessoais solicitados e coletados diretamente por essa o/a COMPRADOR(A), para atingimento das finalidades descritas nos itens acima, não sendo solicitadas informações relativas aos dados sensíveis do/a COMPRADOR(A).</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15. DAS DISPOSIÇÕES GERAIS</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15.1. A tolerância por qualquer dos contratantes, quanto a alguma demora, atraso ou omissão da outra parte no cumprimento das obrigações ajustadas neste instrumento ou a não aplicação, na ocasião oportuna, das cominações aqui constantes, não acarretará o cancelamento das penalidades, nem dos poderes ora conferidos, podendo ser aplicadas aquelas e exercidos estes, a qualquer tempo, caso permaneçam as causas.</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15.2. A VENDEDORA poderá, a qualquer tempo e a seu exclusivo critério, ceder e transferir os direitos e obrigações decorrentes deste Contrato, em relação a ela, VENDEDORA, independentemente de qualquer anuência, interferência ou participação do/a COMPRADOR(A).</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15.3. Sem prejuízo das demais declarações feitas no presente instrumento, o/a COMPRADOR(A) declara, neste ato, que receberam previamente a minuta do presente instrumento, a fim de que fosse examinada e que, somente após a leitura do presente contrato, aceitaram de livre manifestação de vontade, os termos, condições, cláusulas e itens nele contidos.</w:t>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15.11. As Partes concordam que o presente instrumento, bem como demais documentos correlatos, poderão ser assinados digitalmente, nos termos da Lei 13.874, bem como na Medida Provisória 2.200-2, no Decreto 10.278, e, ainda, no Enunciado nº 297 do Conselho Nacional de Justiça.</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9640"/>
      </w:tblGrid>
      <w:tr>
        <w:tc>
          <w:tcPr>
            <w:tcBorders>
              <w:top w:val="single" w:color="888888" w:sz="4"/>
              <w:left w:val="single" w:color="888888" w:sz="4"/>
              <w:bottom w:val="single" w:color="888888" w:sz="4"/>
              <w:right w:val="single" w:color="888888" w:sz="4"/>
            </w:tcBorders>
            <w:shd w:fill="2E5F8A" w:val="clear"/>
            <w:tcMar>
              <w:top w:type="dxa" w:w="100"/>
              <w:left w:type="dxa" w:w="200"/>
              <w:bottom w:type="dxa" w:w="100"/>
              <w:right w:type="dxa" w:w="200"/>
            </w:tcMar>
          </w:tcPr>
          <w:p>
            <w:r>
              <w:rPr>
                <w:rFonts w:ascii="Times New Roman" w:cs="Times New Roman" w:eastAsia="Times New Roman" w:hAnsi="Times New Roman"/>
                <w:b/>
                <w:bCs/>
                <w:color w:val="FFFFFF"/>
                <w:sz w:val="22"/>
                <w:szCs w:val="22"/>
              </w:rPr>
              <w:t xml:space="preserve">16. DA ELEIÇÃO DO FORO</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16.1. As Partes elegem o Foro da Comarca de {EMP_COMARCA}/SC, que será o único competente para dirimir as dúvidas e as questões decorrentes deste Contrato, renunciando, desde já, a qualquer outro, por mais privilegiado que seja.</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0" w:line="276"/>
        <w:jc w:val="both"/>
      </w:pPr>
      <w:r>
        <w:rPr>
          <w:rFonts w:ascii="Times New Roman" w:cs="Times New Roman" w:eastAsia="Times New Roman" w:hAnsi="Times New Roman"/>
          <w:b w:val="false"/>
          <w:bCs w:val="false"/>
          <w:i w:val="false"/>
          <w:iCs w:val="false"/>
          <w:color w:val="000000"/>
          <w:sz w:val="22"/>
          <w:szCs w:val="22"/>
        </w:rPr>
        <w:t xml:space="preserve">E, por estarem, assim, justas e contratadas, e sem quaisquer ressalvas a serem feitas ao texto deste instrumento, VENDEDORA e COMPRADOR(A) assinam o presente compromisso, em três (03) vias, de um só teor e para um único efeito, fazendo-o na presença das duas (02) testemunhas ao final identificadas.</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200" w:line="276"/>
        <w:jc w:val="center"/>
      </w:pPr>
      <w:r>
        <w:rPr>
          <w:rFonts w:ascii="Times New Roman" w:cs="Times New Roman" w:eastAsia="Times New Roman" w:hAnsi="Times New Roman"/>
          <w:b/>
          <w:bCs/>
          <w:i w:val="false"/>
          <w:iCs w:val="false"/>
          <w:color w:val="000000"/>
          <w:sz w:val="22"/>
          <w:szCs w:val="22"/>
        </w:rPr>
        <w:t xml:space="preserve">{CIDADE_ASSINATURA}, {DATA_ASSINATURA}.</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c>
          <w:tcPr>
            <w:tcBorders>
              <w:top w:val="single" w:color="000000" w:sz="8"/>
              <w:left w:val="none"/>
              <w:bottom w:val="none"/>
              <w:right w:val="none"/>
            </w:tcBorders>
            <w:tcMar>
              <w:top w:type="dxa" w:w="60"/>
              <w:left w:type="dxa" w:w="200"/>
              <w:right w:type="dxa" w:w="100"/>
            </w:tcMar>
          </w:tcPr>
          <w:p>
            <w:pPr>
              <w:jc w:val="center"/>
            </w:pPr>
            <w:r>
              <w:rPr>
                <w:rFonts w:ascii="Times New Roman" w:cs="Times New Roman" w:eastAsia="Times New Roman" w:hAnsi="Times New Roman"/>
                <w:sz w:val="20"/>
                <w:szCs w:val="20"/>
              </w:rPr>
              <w:t xml:space="preserve">{COMPRADOR_ASSINATURA_1}</w:t>
            </w:r>
          </w:p>
          <w:p>
            <w:pPr>
              <w:jc w:val="center"/>
            </w:pPr>
            <w:r>
              <w:rPr>
                <w:rFonts w:ascii="Times New Roman" w:cs="Times New Roman" w:eastAsia="Times New Roman" w:hAnsi="Times New Roman"/>
                <w:b/>
                <w:bCs/>
                <w:sz w:val="20"/>
                <w:szCs w:val="20"/>
              </w:rPr>
              <w:t xml:space="preserve">COMPRADOR(A)</w:t>
            </w:r>
          </w:p>
        </w:tc>
        <w:tc>
          <w:tcPr>
            <w:tcBorders>
              <w:top w:val="single" w:color="000000" w:sz="8"/>
              <w:left w:val="none"/>
              <w:bottom w:val="none"/>
              <w:right w:val="none"/>
            </w:tcBorders>
            <w:tcMar>
              <w:top w:type="dxa" w:w="60"/>
              <w:left w:type="dxa" w:w="100"/>
              <w:right w:type="dxa" w:w="200"/>
            </w:tcMar>
          </w:tcPr>
          <w:p>
            <w:pPr>
              <w:jc w:val="center"/>
            </w:pPr>
            <w:r>
              <w:rPr>
                <w:rFonts w:ascii="Times New Roman" w:cs="Times New Roman" w:eastAsia="Times New Roman" w:hAnsi="Times New Roman"/>
                <w:sz w:val="20"/>
                <w:szCs w:val="20"/>
              </w:rPr>
              <w:t xml:space="preserve">{COMPRADOR_ASSINATURA_2}</w:t>
            </w:r>
          </w:p>
          <w:p>
            <w:pPr>
              <w:jc w:val="center"/>
            </w:pPr>
            <w:r>
              <w:rPr>
                <w:rFonts w:ascii="Times New Roman" w:cs="Times New Roman" w:eastAsia="Times New Roman" w:hAnsi="Times New Roman"/>
                <w:b/>
                <w:bCs/>
                <w:sz w:val="20"/>
                <w:szCs w:val="20"/>
              </w:rPr>
              <w:t xml:space="preserve">COMPRADOR(A)</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5784"/>
        <w:tblBorders>
          <w:top w:val="single" w:color="auto" w:sz="4"/>
          <w:left w:val="single" w:color="auto" w:sz="4"/>
          <w:bottom w:val="single" w:color="auto" w:sz="4"/>
          <w:right w:val="single" w:color="auto" w:sz="4"/>
          <w:insideH w:val="single" w:color="auto" w:sz="4"/>
          <w:insideV w:val="single" w:color="auto" w:sz="4"/>
        </w:tblBorders>
      </w:tblPr>
      <w:tblGrid>
        <w:gridCol w:w="5784"/>
      </w:tblGrid>
      <w:tr>
        <w:tc>
          <w:tcPr>
            <w:tcBorders>
              <w:top w:val="single" w:color="000000" w:sz="8"/>
              <w:left w:val="none"/>
              <w:bottom w:val="none"/>
              <w:right w:val="none"/>
            </w:tcBorders>
            <w:tcMar>
              <w:top w:type="dxa" w:w="60"/>
            </w:tcMar>
          </w:tcPr>
          <w:p>
            <w:pPr>
              <w:jc w:val="center"/>
            </w:pPr>
            <w:r>
              <w:rPr>
                <w:rFonts w:ascii="Times New Roman" w:cs="Times New Roman" w:eastAsia="Times New Roman" w:hAnsi="Times New Roman"/>
                <w:sz w:val="20"/>
                <w:szCs w:val="20"/>
              </w:rPr>
              <w:t xml:space="preserve">{VENDEDORA_NOME}</w:t>
            </w:r>
          </w:p>
          <w:p>
            <w:pPr>
              <w:jc w:val="center"/>
            </w:pPr>
            <w:r>
              <w:rPr>
                <w:rFonts w:ascii="Times New Roman" w:cs="Times New Roman" w:eastAsia="Times New Roman" w:hAnsi="Times New Roman"/>
                <w:b/>
                <w:bCs/>
                <w:sz w:val="20"/>
                <w:szCs w:val="20"/>
              </w:rPr>
              <w:t xml:space="preserve">VENDEDORA</w:t>
            </w:r>
          </w:p>
        </w:tc>
      </w:tr>
    </w:tbl>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80" w:before="100" w:line="276"/>
        <w:jc w:val="both"/>
      </w:pPr>
      <w:r>
        <w:rPr>
          <w:rFonts w:ascii="Times New Roman" w:cs="Times New Roman" w:eastAsia="Times New Roman" w:hAnsi="Times New Roman"/>
          <w:b w:val="false"/>
          <w:bCs w:val="false"/>
          <w:i w:val="false"/>
          <w:iCs w:val="false"/>
          <w:color w:val="000000"/>
          <w:sz w:val="22"/>
          <w:szCs w:val="22"/>
        </w:rPr>
        <w:t xml:space="preserve">Testemunhas:</w:t>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p>
      <w:pPr>
        <w:spacing w:after="60" w:before="0" w:line="276"/>
        <w:jc w:val="both"/>
      </w:pPr>
      <w:r>
        <w:rPr>
          <w:rFonts w:ascii="Times New Roman" w:cs="Times New Roman" w:eastAsia="Times New Roman" w:hAnsi="Times New Roman"/>
          <w:b w:val="false"/>
          <w:bCs w:val="false"/>
          <w:i w:val="false"/>
          <w:iCs w:val="false"/>
          <w:color w:val="000000"/>
          <w:sz w:val="22"/>
          <w:szCs w:val="22"/>
        </w:rPr>
        <w:t xml:space="preserve"/>
      </w:r>
    </w:p>
    <w:tbl>
      <w:tblPr>
        <w:tblW w:type="dxa" w:w="9640"/>
        <w:tblBorders>
          <w:top w:val="single" w:color="auto" w:sz="4"/>
          <w:left w:val="single" w:color="auto" w:sz="4"/>
          <w:bottom w:val="single" w:color="auto" w:sz="4"/>
          <w:right w:val="single" w:color="auto" w:sz="4"/>
          <w:insideH w:val="single" w:color="auto" w:sz="4"/>
          <w:insideV w:val="single" w:color="auto" w:sz="4"/>
        </w:tblBorders>
      </w:tblPr>
      <w:tblGrid>
        <w:gridCol w:w="4820"/>
        <w:gridCol w:w="4820"/>
      </w:tblGrid>
      <w:tr>
        <w:tc>
          <w:tcPr>
            <w:tcBorders>
              <w:top w:val="single" w:color="000000" w:sz="8"/>
              <w:left w:val="none"/>
              <w:bottom w:val="none"/>
              <w:right w:val="none"/>
            </w:tcBorders>
            <w:tcMar>
              <w:top w:type="dxa" w:w="40"/>
              <w:left w:type="dxa" w:w="80"/>
              <w:right w:type="dxa" w:w="80"/>
            </w:tcMar>
          </w:tcPr>
          <w:p>
            <w:r>
              <w:rPr>
                <w:rFonts w:ascii="Times New Roman" w:cs="Times New Roman" w:eastAsia="Times New Roman" w:hAnsi="Times New Roman"/>
                <w:sz w:val="20"/>
                <w:szCs w:val="20"/>
              </w:rPr>
              <w:t xml:space="preserve">Nome: ____________________________</w:t>
            </w:r>
          </w:p>
          <w:p>
            <w:r>
              <w:rPr>
                <w:rFonts w:ascii="Times New Roman" w:cs="Times New Roman" w:eastAsia="Times New Roman" w:hAnsi="Times New Roman"/>
                <w:sz w:val="20"/>
                <w:szCs w:val="20"/>
              </w:rPr>
              <w:t xml:space="preserve">CPF: _____________________________</w:t>
            </w:r>
          </w:p>
          <w:p>
            <w:r>
              <w:rPr>
                <w:rFonts w:ascii="Times New Roman" w:cs="Times New Roman" w:eastAsia="Times New Roman" w:hAnsi="Times New Roman"/>
                <w:sz w:val="20"/>
                <w:szCs w:val="20"/>
              </w:rPr>
              <w:t xml:space="preserve">Testemunha 01</w:t>
            </w:r>
          </w:p>
        </w:tc>
        <w:tc>
          <w:tcPr>
            <w:tcBorders>
              <w:top w:val="single" w:color="000000" w:sz="8"/>
              <w:left w:val="none"/>
              <w:bottom w:val="none"/>
              <w:right w:val="none"/>
            </w:tcBorders>
            <w:tcMar>
              <w:top w:type="dxa" w:w="40"/>
              <w:left w:type="dxa" w:w="80"/>
              <w:right w:type="dxa" w:w="80"/>
            </w:tcMar>
          </w:tcPr>
          <w:p>
            <w:r>
              <w:rPr>
                <w:rFonts w:ascii="Times New Roman" w:cs="Times New Roman" w:eastAsia="Times New Roman" w:hAnsi="Times New Roman"/>
                <w:sz w:val="20"/>
                <w:szCs w:val="20"/>
              </w:rPr>
              <w:t xml:space="preserve">Nome: ____________________________</w:t>
            </w:r>
          </w:p>
          <w:p>
            <w:r>
              <w:rPr>
                <w:rFonts w:ascii="Times New Roman" w:cs="Times New Roman" w:eastAsia="Times New Roman" w:hAnsi="Times New Roman"/>
                <w:sz w:val="20"/>
                <w:szCs w:val="20"/>
              </w:rPr>
              <w:t xml:space="preserve">CPF: _____________________________</w:t>
            </w:r>
          </w:p>
          <w:p>
            <w:r>
              <w:rPr>
                <w:rFonts w:ascii="Times New Roman" w:cs="Times New Roman" w:eastAsia="Times New Roman" w:hAnsi="Times New Roman"/>
                <w:sz w:val="20"/>
                <w:szCs w:val="20"/>
              </w:rPr>
              <w:t xml:space="preserve">Testemunha 02</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2026-06-20T19:01:56.646Z</dcterms:created>
  <dcterms:modified xsi:type="dcterms:W3CDTF">2026-06-20T19:01:56.653Z</dcterms:modified>
</cp:coreProperties>
</file>

<file path=docProps/custom.xml><?xml version="1.0" encoding="utf-8"?>
<Properties xmlns="http://schemas.openxmlformats.org/officeDocument/2006/custom-properties" xmlns:vt="http://schemas.openxmlformats.org/officeDocument/2006/docPropsVTypes"/>
</file>