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Министерство науки и высшего образования Российской Федерации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«Национальный исследовательский университет ИТМО»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  <w:u w:val="none"/>
        </w:rPr>
        <w:t>Факультет программной инженерии и компьютерной техники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  <w:u w:val="none"/>
        </w:rPr>
        <w:t>Лабораторная работа №3</w:t>
      </w: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Функциональное тестирование интерфейса сайта Subscribe.ru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36"/>
          <w:u w:val="none"/>
        </w:rPr>
        <w:t>Вариант №95033</w:t>
      </w: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jc w:val="center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Группа: P3XXX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Выполнил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 Фамилия И.О.</w:t>
      </w:r>
    </w:p>
    <w:p>
      <w:pPr>
        <w:spacing w:line="360" w:lineRule="auto" w:before="0" w:after="0"/>
        <w:ind w:left="5102"/>
        <w:jc w:val="left"/>
      </w:pP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single"/>
        </w:rPr>
        <w:t>Проверил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:</w:t>
      </w:r>
    </w:p>
    <w:p>
      <w:pPr>
        <w:spacing w:line="360" w:lineRule="auto" w:before="0" w:after="0"/>
        <w:ind w:left="5102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к.т.н. доцент Фамилия И.О.</w:t>
      </w:r>
    </w:p>
    <w:tbl>
      <w:tblPr>
        <w:tblW w:type="auto" w:w="0"/>
        <w:tblLayout w:type="autofit"/>
        <w:tblLook w:firstColumn="1" w:firstRow="1" w:lastColumn="0" w:lastRow="0" w:noHBand="0" w:noVBand="1" w:val="04A0"/>
        <w:tblpPr w:vertAnchor="margin" w:horzAnchor="margin" w:tblpYSpec="bottom" w:tblpXSpec="center" w:leftFromText="0" w:rightFromText="0" w:topFromText="0" w:bottomFromText="0"/>
        <w:tblOverlap w:val="nev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1"/>
      </w:tblGrid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Санкт-Петербург</w:t>
            </w:r>
          </w:p>
        </w:tc>
      </w:tr>
      <w:tr>
        <w:tc>
          <w:tcPr>
            <w:tcW w:type="dxa" w:w="9071"/>
          </w:tcPr>
          <w:p>
            <w:pPr>
              <w:spacing w:line="360" w:lineRule="auto" w:before="0" w:after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2026</w:t>
            </w:r>
          </w:p>
        </w:tc>
      </w:tr>
    </w:tbl>
    <w:p>
      <w:pPr>
        <w:sectPr>
          <w:footerReference w:type="default" r:id="rId9"/>
          <w:footerReference w:type="first" r:id="rId10"/>
          <w:pgSz w:w="11906" w:h="16838"/>
          <w:pgMar w:top="567" w:right="1134" w:bottom="567" w:left="1701" w:header="720" w:footer="720" w:gutter="0"/>
          <w:cols w:space="720"/>
          <w:titlePg/>
          <w:docGrid w:linePitch="360"/>
        </w:sectPr>
      </w:pPr>
    </w:p>
    <w:p>
      <w:pPr>
        <w:spacing w:line="360" w:lineRule="auto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ОГЛАВЛЕНИЕ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fldChar w:fldCharType="begin"/>
        <w:instrText xml:space="preserve"> TOC \o "1-3" \h \z \u </w:instrText>
        <w:fldChar w:fldCharType="separate"/>
        <w:r>
          <w:t>Оглавление будет сформировано автоматически при обновлении поля (ПКМ → «Обновить поле»)</w:t>
        </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ТЕКСТ ЗАДАНИЯ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Сформировать варианты использования, разработать на их основе тестовое покрытие и провести функциональное тестирование интерфейса сайта в соответствии с вариантом.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Вариант №95033: Subscribe.ru. Служба бесплатных почтовых рассылок. http://subscribe.ru/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Требования к выполнению работы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Тестовое покрытие должно быть сформировано на основании набора прецедентов использования сайта.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Тестирование должно осуществляться автоматически с помощью системы автоматизированного тестирования Selenium.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Шаблоны тестов должны формироваться при помощи Selenium IDE и исполняться при помощи Selenium RC в браузерах Firefox и Chrome.</w:t>
      </w:r>
    </w:p>
    <w:p>
      <w:pPr>
        <w:spacing w:line="360" w:lineRule="auto" w:after="0"/>
        <w:numPr>
          <w:ilvl w:val="0"/>
          <w:numId w:val="10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Тестируемый сайт использует динамическую генерацию элементов, поэтому выбор элемента в DOM выполняется не по ID, а с помощью XPath.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Требования к содержанию отчёта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Текст задания.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UseCase-диаграмма с прецедентами использования тестируемого сайта.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CheckList тестового покрытия.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Описание набора тестовых сценариев.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Результаты тестирования.</w:t>
      </w:r>
    </w:p>
    <w:p>
      <w:pPr>
        <w:spacing w:line="360" w:lineRule="auto" w:after="0"/>
        <w:numPr>
          <w:ilvl w:val="0"/>
          <w:numId w:val="101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Выводы.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 реализации вместо устаревшего Selenium RC используется Selenium WebDriver из Selenium 4. Это практическая замена RC, тесты так же управляют браузерами Chrome и Firefox через XPath-локаторы и подходят под требования задания.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ВАРИАНТЫ ИСПОЛЬЗОВАНИЯ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Тестируемая система это публичный веб-интерфейс https://subscribe.ru/. В рамках работы рассматриваются пользовательские сценарии, доступные через браузер: просмотр публичных разделов, переходы по каталогам и карточкам, запуск регистрации, запуск сценария подписки. Сценарии администрирования, оплаты и работы почтовых серверов в объём работы не входят.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Акторы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Гость это неавторизованный посетитель сайта, который открывает главную страницу, изучает выпуски и группы, пытается зарегистрироваться или подписаться на рассылку.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Авторизованный пользователь это пользователь с учётной записью, который дополнительно может просматривать свои подписки и управлять ими. В работе основной фокус сделан на сценариях гостя, поскольку они доступны без тестовых учётных данных и хорошо подходят для стабильной Selenium-автоматизации.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Перечень прецедентов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1 — Перечень прецедентов использования Subscribe.ru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ID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Прецедент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Актор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Статус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UC-01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Просмотреть главную страницу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UC-02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Открыть каталог выпусков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UC-03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Открыть каталог групп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UC-04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Открыть карточку выпуска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UC-05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Открыть карточку группы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UC-06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Начать регистрацию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UC-07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Выполнить вход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Частично через подписку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UC-08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Инициировать подписку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UC-09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Подтвердить доступ к подписке через авторизацию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Автоматизирован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UC-10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Просматривать свои подписки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Авторизованный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 входит в объём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UC-11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Управлять подписками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Авторизованный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 входит в объём</w:t>
            </w:r>
          </w:p>
        </w:tc>
      </w:tr>
    </w:tbl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UseCase-диаграмма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764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64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1 — UseCase-диаграмма прецедентов использования Subscribe.ru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диаграмме показаны связи между прецедентами: UC-02 включает UC-04 (просмотр выпуска из каталога), UC-03 включает UC-05 (просмотр группы из каталога), UC-08 включает UC-09 (подписка требует подтверждения доступа). UC-09 расширяется через UC-07 и UC-06, поскольку пользователь может либо войти, либо зарегистрироваться. UC-10 расширяется через UC-11 для управления уже оформленными подписками.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CHECKLIST ТЕСТОВОГО ПОКРЫТИЯ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Чек-лист построен на основе выделенных прецедентов. В покрытие включены: публичная навигация сайта, каталог групп и переходы по нему, каталог выпусков, карточки контента, запуск регистрационного потока, запуск потока подписки. В покрытие не включены сценарии администрирования, рассылки писем и сценарии, требующие заранее подготовленного аккаунта.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2 — Матрица тестового покрытия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ID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Прецедент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Проверка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Тип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Тест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CL-01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UC-01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Главная страница открывается по URL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shouldDisplayHomePageNavigation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CL-02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UC-01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Отображается блок Отборные выпуски рассылок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shouldDisplayHomePageNavigation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CL-03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UC-01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навигации доступны разделы Выпуски, Группы, Подборки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shouldDisplayHomePageNavigation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CL-04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UC-02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в раздел выпусков с главной страницы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shouldNavigateToDigestsCatalog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CL-05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UC-02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Каталог выпусков содержит контент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shouldNavigateToDigestsCatalog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CL-06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UC-03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по ссылке Группы открывает каталог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shouldNavigateToGroupsCatalog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CL-07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UC-03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URL содержит путь /group/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shouldNavigateToGroupsCatalog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CL-08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UC-03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Отображаются карточки групп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shouldNavigateToGroupsCatalog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CL-09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UC-05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в карточку конкретной группы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shouldOpenGroupCard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CL-10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UC-05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В карточке группы есть название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shouldOpenGroupCard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CL-11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UC-04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к отдельному выпуску из публичного каталога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shouldOpenDigestCard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CL-12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UC-04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Карточка выпуска открывается без авторизации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shouldOpenDigestCard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CL-13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UC-06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Гость может начать регистрацию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shouldOpenRegistrationPage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CL-14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UC-06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Пользователь попадает в регистрационный поток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shouldOpenRegistrationPage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CL-15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UC-07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Пользователь может открыть форму авторизации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shouldOpenAuthorizationPopupWhenSubscriptionStarts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CL-16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UC-08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 публичной странице доступна кнопка Подписаться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shouldOpenAuthorizationPopupWhenSubscriptionStarts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CL-17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UC-08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Нажатие на Подписаться запускает поток подписки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shouldOpenAuthorizationPopupWhenSubscriptionStarts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CL-18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UC-09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Подписка не завершается без авторизации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Негативный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shouldOpenAuthorizationPopupWhenSubscriptionStarts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CL-19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UC-09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Сайт переводит к форме авторизации или регистрации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Позитивный</w:t>
            </w:r>
          </w:p>
        </w:tc>
        <w:tc>
          <w:tcPr>
            <w:tcW w:type="dxa" w:w="1928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shouldOpenAuthorizationPopupWhenSubscriptionStarts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ОПИСАНИЕ ТЕСТОВЫХ СЦЕНАРИЕВ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Сценарии сформированы на основе use case-диаграммы и чек-листа. Тестирование проводится для публичного сайта https://subscribe.ru/, пользователь не авторизован, браузеры выполнения Google Chrome и Mozilla Firefox, взаимодействие с элементами интерфейса выполняется через XPath-локаторы.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TS-01. Просмотр главной страницы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Связанный прецедент: UC-01. Просмотреть главную страницу.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проверить, что главная страница доступна гостю и содержит основные публичные разделы.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Перейти по адресу https://subscribe.ru/.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загрузки главного контентного блока.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Найти заголовок Отборные выпуски рассылок.</w:t>
      </w:r>
    </w:p>
    <w:p>
      <w:pPr>
        <w:spacing w:line="360" w:lineRule="auto" w:after="0"/>
        <w:numPr>
          <w:ilvl w:val="0"/>
          <w:numId w:val="102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наличие ссылок Выпуски, Группы, Подборки.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главная страница загружается, виден заголовок, основные разделы доступны.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shouldDisplayHomePageNavigation.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TS-02. Переход в каталог групп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Связанный прецедент: UC-03. Открыть каталог групп.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 переход из публичной навигации на страницу каталога групп.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 главной странице найти ссылку Группы.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Нажать на ссылку Группы.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загрузки страницы каталога.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Проверить, что URL содержит путь /group/.</w:t>
      </w:r>
    </w:p>
    <w:p>
      <w:pPr>
        <w:spacing w:line="360" w:lineRule="auto" w:after="0"/>
        <w:numPr>
          <w:ilvl w:val="0"/>
          <w:numId w:val="103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наличие карточек групп.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открывается каталог групп с доступными карточками.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shouldNavigateToGroupsCatalog.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TS-03. Начало регистрации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Связанный прецедент: UC-06. Начать регистрацию.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проверить, что гость может начать регистрационный поток из публичного интерфейса.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Открыть главную страницу сайта.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Найти ссылку Регистрация.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Нажать на ссылку Регистрация.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перехода в регистрационный поток.</w:t>
      </w:r>
    </w:p>
    <w:p>
      <w:pPr>
        <w:spacing w:line="360" w:lineRule="auto" w:after="0"/>
        <w:numPr>
          <w:ilvl w:val="0"/>
          <w:numId w:val="104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Проверить, что пользователь видит регистрационный интерфейс.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регистрационный поток запускается без необходимости предварительного входа.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shouldOpenRegistrationPage.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39629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ration-flow-activ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962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2 — Activity-диаграмма сценария регистрации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TS-04. Инициирование подписки на рассылку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Связанные прецеденты: UC-08. Инициировать подписку, UC-09. Подтвердить доступ к подписке.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проверить, что попытка подписки переводит неавторизованного пользователя в поток авторизации или регистрации.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Открыть главную страницу сайта.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Найти первую доступную кнопку Подписаться.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Нажать кнопку Подписаться.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старта потока подписки.</w:t>
      </w:r>
    </w:p>
    <w:p>
      <w:pPr>
        <w:spacing w:line="360" w:lineRule="auto" w:after="0"/>
        <w:numPr>
          <w:ilvl w:val="0"/>
          <w:numId w:val="105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Проверить, что пользователь видит форму авторизации, регистрации или попадает на маршрут подписки.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сайт требует дальнейшую авторизацию или регистрацию, поток подписки запускается корректно.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shouldOpenAuthorizationPopupWhenSubscriptionStarts.</w:t>
      </w:r>
    </w:p>
    <w:p>
      <w:pPr>
        <w:spacing w:line="360" w:lineRule="auto" w:before="12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44334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cription-flow-activ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433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Рисунок 3 — Activity-диаграмма сценария подписки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TS-05. Открытие карточки группы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Связанный прецедент: UC-05. Открыть карточку группы.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 переход из каталога групп в карточку конкретной группы.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6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Открыть каталог групп.</w:t>
      </w:r>
    </w:p>
    <w:p>
      <w:pPr>
        <w:spacing w:line="360" w:lineRule="auto" w:after="0"/>
        <w:numPr>
          <w:ilvl w:val="0"/>
          <w:numId w:val="106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Выбрать первую доступную карточку.</w:t>
      </w:r>
    </w:p>
    <w:p>
      <w:pPr>
        <w:spacing w:line="360" w:lineRule="auto" w:after="0"/>
        <w:numPr>
          <w:ilvl w:val="0"/>
          <w:numId w:val="106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Нажать на название группы.</w:t>
      </w:r>
    </w:p>
    <w:p>
      <w:pPr>
        <w:spacing w:line="360" w:lineRule="auto" w:after="0"/>
        <w:numPr>
          <w:ilvl w:val="0"/>
          <w:numId w:val="106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открытия страницы группы.</w:t>
      </w:r>
    </w:p>
    <w:p>
      <w:pPr>
        <w:spacing w:line="360" w:lineRule="auto" w:after="0"/>
        <w:numPr>
          <w:ilvl w:val="0"/>
          <w:numId w:val="106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наличие заголовка группы.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карточка группы открывается, виден заголовок и основная информация.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shouldOpenGroupCard.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TS-06. Открытие карточки выпуска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Связанный прецедент: UC-04. Открыть карточку выпуска.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проверить, что пользователь может открыть отдельный выпуск рассылки из публичного каталога.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7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Открыть главную страницу сайта.</w:t>
      </w:r>
    </w:p>
    <w:p>
      <w:pPr>
        <w:spacing w:line="360" w:lineRule="auto" w:after="0"/>
        <w:numPr>
          <w:ilvl w:val="0"/>
          <w:numId w:val="107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Найти ссылку на доступный выпуск в блоке Отборные выпуски рассылок.</w:t>
      </w:r>
    </w:p>
    <w:p>
      <w:pPr>
        <w:spacing w:line="360" w:lineRule="auto" w:after="0"/>
        <w:numPr>
          <w:ilvl w:val="0"/>
          <w:numId w:val="107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Нажать на ссылку выпуска.</w:t>
      </w:r>
    </w:p>
    <w:p>
      <w:pPr>
        <w:spacing w:line="360" w:lineRule="auto" w:after="0"/>
        <w:numPr>
          <w:ilvl w:val="0"/>
          <w:numId w:val="107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открытия страницы материала.</w:t>
      </w:r>
    </w:p>
    <w:p>
      <w:pPr>
        <w:spacing w:line="360" w:lineRule="auto" w:after="0"/>
        <w:numPr>
          <w:ilvl w:val="0"/>
          <w:numId w:val="107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Проверить, что URL содержит путь /digest/.</w:t>
      </w:r>
    </w:p>
    <w:p>
      <w:pPr>
        <w:spacing w:line="360" w:lineRule="auto" w:after="0"/>
        <w:numPr>
          <w:ilvl w:val="0"/>
          <w:numId w:val="107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 наличие содержимого материала.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страница выпуска открывается без ошибок.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shouldOpenDigestCard.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TS-07. Доступность каталога выпусков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Связанный прецедент: UC-02. Открыть каталог выпусков.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Цель: проверить, что гость может перейти в каталог выпусков.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Шаги:</w:t>
      </w:r>
    </w:p>
    <w:p>
      <w:pPr>
        <w:spacing w:line="360" w:lineRule="auto" w:after="0"/>
        <w:numPr>
          <w:ilvl w:val="0"/>
          <w:numId w:val="108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Открыть главную страницу сайта.</w:t>
      </w:r>
    </w:p>
    <w:p>
      <w:pPr>
        <w:spacing w:line="360" w:lineRule="auto" w:after="0"/>
        <w:numPr>
          <w:ilvl w:val="0"/>
          <w:numId w:val="108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Найти в навигации ссылку Выпуски.</w:t>
      </w:r>
    </w:p>
    <w:p>
      <w:pPr>
        <w:spacing w:line="360" w:lineRule="auto" w:after="0"/>
        <w:numPr>
          <w:ilvl w:val="0"/>
          <w:numId w:val="108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Нажать на ссылку.</w:t>
      </w:r>
    </w:p>
    <w:p>
      <w:pPr>
        <w:spacing w:line="360" w:lineRule="auto" w:after="0"/>
        <w:numPr>
          <w:ilvl w:val="0"/>
          <w:numId w:val="108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Дождаться загрузки страницы раздела.</w:t>
      </w:r>
    </w:p>
    <w:p>
      <w:pPr>
        <w:spacing w:line="360" w:lineRule="auto" w:after="0"/>
        <w:numPr>
          <w:ilvl w:val="0"/>
          <w:numId w:val="108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Проверить, что URL содержит /digest.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Ожидаемый результат: каталог выпусков открывается, страница доступна.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Автотест: shouldNavigateToDigestsCatalog.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РЕАЛИЗАЦИЯ АВТОТЕСТОВ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Реализация выполнена на Java 21 с использованием Selenium WebDriver 4.42, JUnit 5 и Page Object Model. Сборка через Gradle, отдельные задачи для запуска тестов в Chrome (chromeUiTest), Firefox (firefoxUiTest) и обоих браузерах (uiTest).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Структура проекта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lab3/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├── build.gradle                              Конфигурация Gradle, задачи для UI-тестов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├── docs/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│   ├── checklist.md                          CheckList тестового покрытия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│   ├── test-scenarios.md                     Описание сценариев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│   ├── test-results.md                       Результаты прогона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│   ├── use-case-description.md               Описание прецедентов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│   └── use-case-diagram.puml                 PlantUML диаграмма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└── src/test/java/ru/itmo/qa/lab3/ui/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SubscribeRuUiTest.java                7 параметризованных тестов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BasePage.java                         Базовый Page Object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SubscribeHomePage.java                Главная страница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SubscribeGroupsPage.java              Каталог групп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SubscribeGroupCardPage.java           Карточка группы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SubscribeDigestsPage.java             Каталог выпусков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SubscribeDigestCardPage.java          Карточка выпуска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SubscribeRegistrationPage.java        Форма регистрации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WebDriverFactory.java                 Создание драйверов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├── Lab3UiConfig.java                     Конфигурация из system properties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└── BrowserType.java                      Перечисление браузеров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Page Object Model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Базовый класс BasePage инкапсулирует ожидания и работу с элементами через WebDriverWait. Поддерживаются как обычный click, так и jsClick через JavascriptExecutor для случаев, когда элемент перекрыт всплывающим баннером (актуально для Firefox).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abstract class BasePage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protected WebElement waitForVisible(By locator)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return wait.until(ExpectedConditions.visibilityOfElementLocated(locator));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protected void click(By locator)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waitForClickable(locator).click();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protected void jsClick(By locator)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WebElement element = waitForVisible(locator);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((JavascriptExecutor) driver)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.executeScript("arguments[0].scrollIntoView({block:'center'});", element);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((JavascriptExecutor) driver)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.executeScript("arguments[0].click();", element);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XPath-локаторы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взаимодействия с DOM построены через XPath. Локаторы привязаны к стабильным признакам: тексту ссылки, частичному совпадению href, структуре страницы.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// Главная страница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private static final By FEATURED_HEADER =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By.xpath("//h1[normalize-space()='Отборные выпуски рассылок']");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private static final By DIGESTS_LINK =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By.xpath("(//a[contains(@href,'/digest') and normalize-space()='Выпуски'])[1]");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private static final By GROUPS_LINK =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By.xpath("(//a[@href='/group/' and normalize-space()='Группы'])[1]");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// Каталог групп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private static final By FIRST_GROUP_CARD = By.xpath("(//h2/a)[1]");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// Карточка группы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private static final By GROUP_TITLE =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By.xpath("//h3[a[contains(@href,'/group/')]]");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Параметризованные тесты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Каждый тестовый сценарий выполняется в обоих браузерах через @ParameterizedTest с источником BrowserType.configuredBrowsers().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@Tag("ui")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class SubscribeRuUiTest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private final Lab3UiConfig config = new Lab3UiConfig();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static Stream&lt;BrowserType&gt; browsers()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return BrowserType.configuredBrowsers();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@ParameterizedTest(name = "[{0}] каталог групп открывается из шапки")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@MethodSource("browsers")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void shouldNavigateToGroupsCatalog(BrowserType browserType)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withDriver(browserType, driver -&gt; {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SubscribeHomePage homePage =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    new SubscribeHomePage(driver, config.timeout(), config.baseUrl());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SubscribeGroupsPage groupsPage =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    new SubscribeGroupsPage(driver, config.timeout());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homePage.open();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homePage.openGroupsCatalog();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groupsPage.waitUntilLoaded();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assertTrue(driver.getCurrentUrl().contains("/group/"));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    assertTrue(groupsPage.hasGroupsContent());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    });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 xml:space="preserve">    }</w:t>
      </w:r>
    </w:p>
    <w:p>
      <w:pPr>
        <w:spacing w:line="240" w:lineRule="auto" w:before="0" w:after="0"/>
        <w:ind w:firstLine="0" w:left="283"/>
        <w:jc w:val="left"/>
      </w:pPr>
      <w:r>
        <w:rPr>
          <w:rFonts w:ascii="Courier New" w:hAnsi="Courier New" w:cs="Courier New" w:eastAsia="Courier New"/>
          <w:sz w:val="22"/>
        </w:rPr>
        <w:t>}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РЕЗУЛЬТАТЫ ТЕСТИРОВАНИЯ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Среда выполнения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Дата проверки: 3 мая 2026.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ОС: macOS 25.4.0.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Java: 21.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Gradle: 8.10.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Selenium WebDriver: 4.42.0.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Браузеры: Chrome 147, Firefox через Selenium Manager.</w:t>
      </w:r>
    </w:p>
    <w:p>
      <w:pPr>
        <w:spacing w:line="360" w:lineRule="auto" w:after="0"/>
        <w:numPr>
          <w:ilvl w:val="0"/>
          <w:numId w:val="109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Команды запуска: ./gradlew :lab3:chromeUiTest и ./gradlew :lab3:firefoxUiTest.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30"/>
          <w:u w:val="none"/>
        </w:rPr>
        <w:t>Таблица результатов</w:t>
      </w:r>
    </w:p>
    <w:p>
      <w:pPr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Таблица 3 — Результаты прогона автотестов в Chrome и Firefox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Сценарий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Chrome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Firefox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8"/>
                <w:u w:val="none"/>
              </w:rPr>
              <w:t>Комментарий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TS-01. Главная страница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Проверены публичные разделы и шапка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TS-02. Переход в каталог групп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XPath-навигация работает стабильно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TS-03. Открытие регистрации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Регистрационный поток стартует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TS-04. Инициирование подписки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Запускается поток подписки и авторизации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TS-05. Открытие карточки группы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из каталога в карточку группы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TS-06. Открытие карточки выпуска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к отдельному выпуску с главной страницы</w:t>
            </w:r>
          </w:p>
        </w:tc>
      </w:tr>
      <w:tr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TS-07. Доступность каталога выпусков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PASS</w:t>
            </w:r>
          </w:p>
        </w:tc>
        <w:tc>
          <w:tcPr>
            <w:tcW w:type="dxa" w:w="2409"/>
          </w:tcPr>
          <w:p>
            <w:pPr>
              <w:spacing w:line="276" w:lineRule="auto"/>
              <w:ind w:firstLine="0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Переход в каталог выпусков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Всего выполнено 7 тестовых сценариев, каждый прогоняется в Chrome и Firefox, итого 14 прогонов. Все прогоны успешны.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ВЫВОДЫ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Сформирован набор из 11 прецедентов использования сайта Subscribe.ru, из них 8 покрыты автоматизированными тестами.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Построен чек-лист тестового покрытия из 19 проверок, привязанных к прецедентам через идентификаторы.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Реализовано 7 автоматизированных тестовых сценариев на Selenium WebDriver, каждый запускается в Chrome и Firefox.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Все 14 прогонов (7 сценариев x 2 браузера) проходят успешно, что подтверждает кроссбраузерную совместимость тестов.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XPath-локаторы позволяют работать без привязки к нестабильным id элементов, что соответствует требованию задания о динамической генерации DOM.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Page Object Model изолирует тестовую логику от деталей DOM, что упрощает поддержку при изменениях сайта.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Для элементов, перекрываемых всплывающими баннерами в Firefox, применяется JavaScript-клик через scrollIntoView.</w:t>
      </w:r>
    </w:p>
    <w:p>
      <w:pPr>
        <w:spacing w:line="360" w:lineRule="auto" w:after="0"/>
        <w:numPr>
          <w:ilvl w:val="0"/>
          <w:numId w:val="110"/>
        </w:numPr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При изменении структуры публичной страницы Subscribe.ru потребуется скорректировать XPath-локаторы.</w:t>
      </w:r>
    </w:p>
    <w:sectPr w:rsidR="00FC693F" w:rsidRPr="0006063C" w:rsidSect="00034616">
      <w:footerReference w:type="default" r:id="rId11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r>
      <w:rPr>
        <w:rFonts w:ascii="Times New Roman" w:hAnsi="Times New Roman" w:cs="Times New Roman" w:eastAsia="Times New Roman"/>
        <w:b w:val="0"/>
        <w:i w:val="0"/>
        <w:sz w:val="22"/>
        <w:u w:val="none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">
    <w:abstractNumId w:val="7"/>
    <w:lvlOverride w:ilvl="0">
      <w:startOverride w:val="1"/>
    </w:lvlOverride>
  </w:num>
  <w:num w:numId="101">
    <w:abstractNumId w:val="8"/>
    <w:lvlOverride w:ilvl="0">
      <w:startOverride w:val="1"/>
    </w:lvlOverride>
  </w:num>
  <w:num w:numId="102">
    <w:abstractNumId w:val="7"/>
    <w:lvlOverride w:ilvl="0">
      <w:startOverride w:val="1"/>
    </w:lvlOverride>
  </w:num>
  <w:num w:numId="103">
    <w:abstractNumId w:val="7"/>
    <w:lvlOverride w:ilvl="0">
      <w:startOverride w:val="1"/>
    </w:lvlOverride>
  </w:num>
  <w:num w:numId="104">
    <w:abstractNumId w:val="7"/>
    <w:lvlOverride w:ilvl="0">
      <w:startOverride w:val="1"/>
    </w:lvlOverride>
  </w:num>
  <w:num w:numId="105">
    <w:abstractNumId w:val="7"/>
    <w:lvlOverride w:ilvl="0">
      <w:startOverride w:val="1"/>
    </w:lvlOverride>
  </w:num>
  <w:num w:numId="106">
    <w:abstractNumId w:val="7"/>
    <w:lvlOverride w:ilvl="0">
      <w:startOverride w:val="1"/>
    </w:lvlOverride>
  </w:num>
  <w:num w:numId="107">
    <w:abstractNumId w:val="7"/>
    <w:lvlOverride w:ilvl="0">
      <w:startOverride w:val="1"/>
    </w:lvlOverride>
  </w:num>
  <w:num w:numId="108">
    <w:abstractNumId w:val="7"/>
    <w:lvlOverride w:ilvl="0">
      <w:startOverride w:val="1"/>
    </w:lvlOverride>
  </w:num>
  <w:num w:numId="109">
    <w:abstractNumId w:val="8"/>
    <w:lvlOverride w:ilvl="0">
      <w:startOverride w:val="1"/>
    </w:lvlOverride>
  </w:num>
  <w:num w:numId="1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240" w:line="360" w:lineRule="auto"/>
      <w:ind w:firstLine="0"/>
      <w:jc w:val="center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