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9C64" w14:textId="77777777" w:rsidR="00A16B1B" w:rsidRDefault="00A16B1B">
      <w:pPr>
        <w:rPr>
          <w:rFonts w:ascii="Times New Roman" w:eastAsia="Times New Roman" w:hAnsi="Times New Roman" w:cs="Times New Roman"/>
          <w:b/>
          <w:sz w:val="28"/>
          <w:szCs w:val="28"/>
        </w:rPr>
      </w:pPr>
    </w:p>
    <w:p w14:paraId="04A47582" w14:textId="77777777" w:rsidR="004001AF" w:rsidRDefault="0063571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Open Science in Emergency Medicine Research</w:t>
      </w:r>
    </w:p>
    <w:p w14:paraId="343CB326" w14:textId="77777777" w:rsidR="00572214" w:rsidRPr="0016250C" w:rsidRDefault="00572214" w:rsidP="00B72F94">
      <w:pPr>
        <w:rPr>
          <w:color w:val="000000" w:themeColor="text1"/>
          <w:sz w:val="22"/>
          <w:szCs w:val="22"/>
        </w:rPr>
      </w:pPr>
    </w:p>
    <w:p w14:paraId="46D811D9" w14:textId="77777777" w:rsidR="0016250C" w:rsidRP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Within the last decade, advances in health information technology (HIT) and widespread adoption of the electronic health record (EHR) have transformed our practice of emergency medicine and led to an explosion of health data. [1] Growing sources of data including genomic and social network linkages create unique opportunities for innovative, efficient, and cost-effective research to inform clinical decision-making, health services planning, and public health initiatives. [2] These advances have also posed challenges to the quality and responsible conduct of research including incomplete or inadequate reporting on data collection, storage, and processing and limited reproducibility. [3] Open science is a movement promoting data and code sharing in order to facilitate reproducibility and interpretability of research. [4] Here, we sought to critically assess the how emergency medicine research conforms with open science principles.</w:t>
      </w:r>
    </w:p>
    <w:p w14:paraId="6A318B12" w14:textId="77777777" w:rsidR="0016250C" w:rsidRPr="0016250C" w:rsidRDefault="0016250C" w:rsidP="0016250C">
      <w:pPr>
        <w:rPr>
          <w:rFonts w:eastAsia="Times New Roman"/>
          <w:color w:val="000000" w:themeColor="text1"/>
          <w:sz w:val="22"/>
          <w:szCs w:val="22"/>
        </w:rPr>
      </w:pPr>
      <w:r w:rsidRPr="0016250C">
        <w:rPr>
          <w:rFonts w:eastAsia="Times New Roman"/>
          <w:b/>
          <w:bCs/>
          <w:color w:val="000000" w:themeColor="text1"/>
          <w:sz w:val="22"/>
          <w:szCs w:val="22"/>
        </w:rPr>
        <w:t> </w:t>
      </w:r>
    </w:p>
    <w:p w14:paraId="46DBDF2B" w14:textId="7D82E7ED" w:rsid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We reviewed all original research journal articles from 1/1/2018 to the 1/1/2019 within several widely-cited emergency medicine journals (</w:t>
      </w:r>
      <w:r w:rsidRPr="0016250C">
        <w:rPr>
          <w:rFonts w:eastAsia="Times New Roman"/>
          <w:i/>
          <w:iCs/>
          <w:color w:val="000000" w:themeColor="text1"/>
          <w:sz w:val="22"/>
          <w:szCs w:val="22"/>
        </w:rPr>
        <w:t>Annals of Emergency Medicine</w:t>
      </w:r>
      <w:r w:rsidRPr="0016250C">
        <w:rPr>
          <w:rFonts w:eastAsia="Times New Roman"/>
          <w:color w:val="000000" w:themeColor="text1"/>
          <w:sz w:val="22"/>
          <w:szCs w:val="22"/>
        </w:rPr>
        <w:t>, </w:t>
      </w:r>
      <w:r w:rsidRPr="0016250C">
        <w:rPr>
          <w:rFonts w:eastAsia="Times New Roman"/>
          <w:i/>
          <w:iCs/>
          <w:color w:val="000000" w:themeColor="text1"/>
          <w:sz w:val="22"/>
          <w:szCs w:val="22"/>
        </w:rPr>
        <w:t>Academic Emergency Medicine</w:t>
      </w:r>
      <w:r w:rsidRPr="0016250C">
        <w:rPr>
          <w:rFonts w:eastAsia="Times New Roman"/>
          <w:color w:val="000000" w:themeColor="text1"/>
          <w:sz w:val="22"/>
          <w:szCs w:val="22"/>
        </w:rPr>
        <w:t>, </w:t>
      </w:r>
      <w:r w:rsidRPr="0016250C">
        <w:rPr>
          <w:rFonts w:eastAsia="Times New Roman"/>
          <w:i/>
          <w:iCs/>
          <w:color w:val="000000" w:themeColor="text1"/>
          <w:sz w:val="22"/>
          <w:szCs w:val="22"/>
        </w:rPr>
        <w:t>American Journal of Emergency</w:t>
      </w:r>
      <w:r w:rsidRPr="0016250C">
        <w:rPr>
          <w:rFonts w:eastAsia="Times New Roman"/>
          <w:color w:val="000000" w:themeColor="text1"/>
          <w:sz w:val="22"/>
          <w:szCs w:val="22"/>
        </w:rPr>
        <w:t> </w:t>
      </w:r>
      <w:r w:rsidRPr="0016250C">
        <w:rPr>
          <w:rFonts w:eastAsia="Times New Roman"/>
          <w:i/>
          <w:iCs/>
          <w:color w:val="000000" w:themeColor="text1"/>
          <w:sz w:val="22"/>
          <w:szCs w:val="22"/>
        </w:rPr>
        <w:t>Medicine</w:t>
      </w:r>
      <w:r w:rsidRPr="0016250C">
        <w:rPr>
          <w:rFonts w:eastAsia="Times New Roman"/>
          <w:color w:val="000000" w:themeColor="text1"/>
          <w:sz w:val="22"/>
          <w:szCs w:val="22"/>
        </w:rPr>
        <w:t>, J</w:t>
      </w:r>
      <w:r w:rsidRPr="0016250C">
        <w:rPr>
          <w:rFonts w:eastAsia="Times New Roman"/>
          <w:i/>
          <w:iCs/>
          <w:color w:val="000000" w:themeColor="text1"/>
          <w:sz w:val="22"/>
          <w:szCs w:val="22"/>
        </w:rPr>
        <w:t>ournal of Emergency Medicine</w:t>
      </w:r>
      <w:r w:rsidRPr="0016250C">
        <w:rPr>
          <w:rFonts w:eastAsia="Times New Roman"/>
          <w:color w:val="000000" w:themeColor="text1"/>
          <w:sz w:val="22"/>
          <w:szCs w:val="22"/>
        </w:rPr>
        <w:t>, and </w:t>
      </w:r>
      <w:r w:rsidRPr="0016250C">
        <w:rPr>
          <w:rFonts w:eastAsia="Times New Roman"/>
          <w:i/>
          <w:iCs/>
          <w:color w:val="000000" w:themeColor="text1"/>
          <w:sz w:val="22"/>
          <w:szCs w:val="22"/>
        </w:rPr>
        <w:t>Emergency Medicine Journal</w:t>
      </w:r>
      <w:r w:rsidRPr="0016250C">
        <w:rPr>
          <w:rFonts w:eastAsia="Times New Roman"/>
          <w:color w:val="000000" w:themeColor="text1"/>
          <w:sz w:val="22"/>
          <w:szCs w:val="22"/>
        </w:rPr>
        <w:t>)  and determined the proportion of articles where statistical code and/or data was made available either as supplementary material, upon contacting the author, or through a public repository. In addition to the article-level analysis, we reviewed to what extent the journals follow the Transparency and Openness Promotion (TOP) Committee standards for open science and reproducibility. [5]</w:t>
      </w:r>
    </w:p>
    <w:p w14:paraId="25EBF3CB" w14:textId="77777777" w:rsidR="00CF704A" w:rsidRDefault="00CF704A" w:rsidP="0016250C">
      <w:pPr>
        <w:rPr>
          <w:rFonts w:eastAsia="Times New Roman"/>
          <w:color w:val="000000" w:themeColor="text1"/>
          <w:sz w:val="22"/>
          <w:szCs w:val="22"/>
        </w:rPr>
      </w:pPr>
      <w:r w:rsidRPr="0016250C">
        <w:rPr>
          <w:rFonts w:eastAsia="Times New Roman"/>
          <w:color w:val="000000" w:themeColor="text1"/>
          <w:sz w:val="22"/>
          <w:szCs w:val="22"/>
        </w:rPr>
        <w:t>TOP standards exist among 8 modular domains, across three tiers of increasing publication stringency. </w:t>
      </w:r>
    </w:p>
    <w:p w14:paraId="2824286F" w14:textId="40CD7AC7" w:rsidR="0016250C" w:rsidRDefault="00CF704A" w:rsidP="0016250C">
      <w:pPr>
        <w:rPr>
          <w:rFonts w:eastAsia="Times New Roman"/>
          <w:color w:val="000000" w:themeColor="text1"/>
          <w:sz w:val="22"/>
          <w:szCs w:val="22"/>
        </w:rPr>
      </w:pPr>
      <w:r w:rsidRPr="0016250C">
        <w:rPr>
          <w:rFonts w:eastAsia="Times New Roman"/>
          <w:color w:val="000000" w:themeColor="text1"/>
          <w:sz w:val="22"/>
          <w:szCs w:val="22"/>
        </w:rPr>
        <w:t> </w:t>
      </w:r>
    </w:p>
    <w:p w14:paraId="09B11832" w14:textId="1D732165" w:rsidR="0016250C" w:rsidRP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Within the specified timeframe, on initial Ovid search there were 1426 articles, of which 643 me</w:t>
      </w:r>
      <w:r w:rsidR="00CF704A">
        <w:rPr>
          <w:rFonts w:eastAsia="Times New Roman"/>
          <w:color w:val="000000" w:themeColor="text1"/>
          <w:sz w:val="22"/>
          <w:szCs w:val="22"/>
        </w:rPr>
        <w:t>t</w:t>
      </w:r>
      <w:r w:rsidRPr="0016250C">
        <w:rPr>
          <w:rFonts w:eastAsia="Times New Roman"/>
          <w:color w:val="000000" w:themeColor="text1"/>
          <w:sz w:val="22"/>
          <w:szCs w:val="22"/>
        </w:rPr>
        <w:t xml:space="preserve"> inclusion criteria for further review</w:t>
      </w:r>
      <w:r>
        <w:rPr>
          <w:rFonts w:eastAsia="Times New Roman"/>
          <w:color w:val="000000" w:themeColor="text1"/>
          <w:sz w:val="22"/>
          <w:szCs w:val="22"/>
        </w:rPr>
        <w:t xml:space="preserve"> (</w:t>
      </w:r>
      <w:r w:rsidR="00CF704A">
        <w:rPr>
          <w:rFonts w:eastAsia="Times New Roman"/>
          <w:color w:val="000000" w:themeColor="text1"/>
          <w:sz w:val="22"/>
          <w:szCs w:val="22"/>
        </w:rPr>
        <w:t xml:space="preserve">i.e. full-length </w:t>
      </w:r>
      <w:r>
        <w:rPr>
          <w:rFonts w:eastAsia="Times New Roman"/>
          <w:color w:val="000000" w:themeColor="text1"/>
          <w:sz w:val="22"/>
          <w:szCs w:val="22"/>
        </w:rPr>
        <w:t>journal articles</w:t>
      </w:r>
      <w:r w:rsidR="00CF704A">
        <w:rPr>
          <w:rFonts w:eastAsia="Times New Roman"/>
          <w:color w:val="000000" w:themeColor="text1"/>
          <w:sz w:val="22"/>
          <w:szCs w:val="22"/>
        </w:rPr>
        <w:t xml:space="preserve"> of original research)</w:t>
      </w:r>
      <w:r w:rsidRPr="0016250C">
        <w:rPr>
          <w:rFonts w:eastAsia="Times New Roman"/>
          <w:color w:val="000000" w:themeColor="text1"/>
          <w:sz w:val="22"/>
          <w:szCs w:val="22"/>
        </w:rPr>
        <w:t xml:space="preserve">.  Upon review 60 (9.3%) articles were derived from publicly available data sets, 13 (2%) stated that the data was available on request, and 2(0.3%) provided the data within supplementary files.  Only 1 (0.2%) paper mentioned the availability of code and no articles included code within supplementary files. There was no disagreement (kappa=1) between the two reviewers for a subset of the articles (n=20). (see supplementary file and executable document for </w:t>
      </w:r>
      <w:r w:rsidR="00CF704A">
        <w:rPr>
          <w:rFonts w:eastAsia="Times New Roman"/>
          <w:color w:val="000000" w:themeColor="text1"/>
          <w:sz w:val="22"/>
          <w:szCs w:val="22"/>
        </w:rPr>
        <w:t xml:space="preserve">the </w:t>
      </w:r>
      <w:proofErr w:type="spellStart"/>
      <w:r w:rsidR="00CF704A">
        <w:rPr>
          <w:rFonts w:eastAsia="Times New Roman"/>
          <w:color w:val="000000" w:themeColor="text1"/>
          <w:sz w:val="22"/>
          <w:szCs w:val="22"/>
        </w:rPr>
        <w:t>Ovidearch</w:t>
      </w:r>
      <w:proofErr w:type="spellEnd"/>
      <w:r w:rsidR="00CF704A">
        <w:rPr>
          <w:rFonts w:eastAsia="Times New Roman"/>
          <w:color w:val="000000" w:themeColor="text1"/>
          <w:sz w:val="22"/>
          <w:szCs w:val="22"/>
        </w:rPr>
        <w:t xml:space="preserve">, </w:t>
      </w:r>
      <w:r w:rsidRPr="0016250C">
        <w:rPr>
          <w:rFonts w:eastAsia="Times New Roman"/>
          <w:color w:val="000000" w:themeColor="text1"/>
          <w:sz w:val="22"/>
          <w:szCs w:val="22"/>
        </w:rPr>
        <w:t>labeling of each article and analysis, </w:t>
      </w:r>
      <w:hyperlink r:id="rId5" w:history="1">
        <w:r w:rsidRPr="0016250C">
          <w:rPr>
            <w:rFonts w:eastAsia="Times New Roman"/>
            <w:color w:val="000000" w:themeColor="text1"/>
            <w:sz w:val="22"/>
            <w:szCs w:val="22"/>
            <w:u w:val="single"/>
          </w:rPr>
          <w:t>https://github.com/rAndrewTaylor</w:t>
        </w:r>
        <w:r w:rsidRPr="0016250C">
          <w:rPr>
            <w:rFonts w:eastAsia="Times New Roman"/>
            <w:color w:val="000000" w:themeColor="text1"/>
            <w:sz w:val="22"/>
            <w:szCs w:val="22"/>
            <w:u w:val="single"/>
          </w:rPr>
          <w:t>/</w:t>
        </w:r>
        <w:r w:rsidRPr="0016250C">
          <w:rPr>
            <w:rFonts w:eastAsia="Times New Roman"/>
            <w:color w:val="000000" w:themeColor="text1"/>
            <w:sz w:val="22"/>
            <w:szCs w:val="22"/>
            <w:u w:val="single"/>
          </w:rPr>
          <w:t>ed-repoducibility</w:t>
        </w:r>
      </w:hyperlink>
      <w:r w:rsidRPr="0016250C">
        <w:rPr>
          <w:rFonts w:eastAsia="Times New Roman"/>
          <w:color w:val="000000" w:themeColor="text1"/>
          <w:sz w:val="22"/>
          <w:szCs w:val="22"/>
        </w:rPr>
        <w:t>). All journals were at Level I or lower for every promotion standard except for “Design and Analysis Transparency” and “Study Preregistration”.</w:t>
      </w:r>
    </w:p>
    <w:p w14:paraId="69F9E3CB" w14:textId="77777777" w:rsidR="0016250C" w:rsidRP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 </w:t>
      </w:r>
    </w:p>
    <w:p w14:paraId="32A4D457" w14:textId="77777777" w:rsidR="0016250C" w:rsidRP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These results highlight the paucity of studies and journals in emergency medicine strictly adhering to open science practices.  We believe both researchers and journals in emergency medicine must strive to create better systems and practices to enhance future reproducibility.</w:t>
      </w:r>
    </w:p>
    <w:p w14:paraId="3EBD4F33" w14:textId="77777777" w:rsidR="008440B8" w:rsidRPr="0016250C" w:rsidRDefault="008440B8">
      <w:pPr>
        <w:rPr>
          <w:color w:val="000000" w:themeColor="text1"/>
          <w:sz w:val="22"/>
          <w:szCs w:val="22"/>
        </w:rPr>
      </w:pPr>
      <w:r w:rsidRPr="0016250C">
        <w:rPr>
          <w:b/>
          <w:color w:val="000000" w:themeColor="text1"/>
          <w:sz w:val="22"/>
          <w:szCs w:val="22"/>
        </w:rPr>
        <w:br w:type="page"/>
      </w:r>
    </w:p>
    <w:p w14:paraId="7F942753" w14:textId="77777777" w:rsidR="00B72F94" w:rsidRDefault="00B72F94">
      <w:pPr>
        <w:rPr>
          <w:b/>
          <w:sz w:val="22"/>
          <w:szCs w:val="22"/>
        </w:rPr>
      </w:pPr>
    </w:p>
    <w:p w14:paraId="71B58626" w14:textId="77777777" w:rsidR="004001AF" w:rsidRDefault="00635715">
      <w:pPr>
        <w:rPr>
          <w:sz w:val="22"/>
          <w:szCs w:val="22"/>
        </w:rPr>
      </w:pPr>
      <w:r>
        <w:rPr>
          <w:sz w:val="22"/>
          <w:szCs w:val="22"/>
        </w:rPr>
        <w:t>References:</w:t>
      </w:r>
    </w:p>
    <w:p w14:paraId="5BE84854" w14:textId="77777777" w:rsidR="004001AF" w:rsidRDefault="004001AF">
      <w:pPr>
        <w:widowControl w:val="0"/>
        <w:spacing w:line="276" w:lineRule="auto"/>
        <w:rPr>
          <w:sz w:val="22"/>
          <w:szCs w:val="22"/>
        </w:rPr>
      </w:pPr>
    </w:p>
    <w:p w14:paraId="792BA756" w14:textId="77777777" w:rsidR="004001AF" w:rsidRDefault="00635715">
      <w:pPr>
        <w:widowControl w:val="0"/>
        <w:pBdr>
          <w:top w:val="nil"/>
          <w:left w:val="nil"/>
          <w:bottom w:val="nil"/>
          <w:right w:val="nil"/>
          <w:between w:val="nil"/>
        </w:pBdr>
        <w:spacing w:before="220" w:after="220"/>
        <w:ind w:left="440" w:hanging="440"/>
        <w:rPr>
          <w:color w:val="000000"/>
          <w:sz w:val="22"/>
          <w:szCs w:val="22"/>
        </w:rPr>
      </w:pPr>
      <w:r>
        <w:rPr>
          <w:color w:val="000000"/>
          <w:sz w:val="22"/>
          <w:szCs w:val="22"/>
        </w:rPr>
        <w:t xml:space="preserve">1. </w:t>
      </w:r>
      <w:r>
        <w:rPr>
          <w:color w:val="000000"/>
          <w:sz w:val="22"/>
          <w:szCs w:val="22"/>
        </w:rPr>
        <w:tab/>
      </w:r>
      <w:hyperlink r:id="rId6">
        <w:proofErr w:type="spellStart"/>
        <w:r>
          <w:rPr>
            <w:color w:val="000000"/>
            <w:sz w:val="22"/>
            <w:szCs w:val="22"/>
          </w:rPr>
          <w:t>Schneeweiss</w:t>
        </w:r>
        <w:proofErr w:type="spellEnd"/>
        <w:r>
          <w:rPr>
            <w:color w:val="000000"/>
            <w:sz w:val="22"/>
            <w:szCs w:val="22"/>
          </w:rPr>
          <w:t xml:space="preserve"> S. Learning from big health care data. </w:t>
        </w:r>
      </w:hyperlink>
      <w:hyperlink r:id="rId7">
        <w:r>
          <w:rPr>
            <w:i/>
            <w:color w:val="000000"/>
            <w:sz w:val="22"/>
            <w:szCs w:val="22"/>
          </w:rPr>
          <w:t xml:space="preserve">N </w:t>
        </w:r>
        <w:proofErr w:type="spellStart"/>
        <w:r>
          <w:rPr>
            <w:i/>
            <w:color w:val="000000"/>
            <w:sz w:val="22"/>
            <w:szCs w:val="22"/>
          </w:rPr>
          <w:t>Engl</w:t>
        </w:r>
        <w:proofErr w:type="spellEnd"/>
        <w:r>
          <w:rPr>
            <w:i/>
            <w:color w:val="000000"/>
            <w:sz w:val="22"/>
            <w:szCs w:val="22"/>
          </w:rPr>
          <w:t xml:space="preserve"> J Med</w:t>
        </w:r>
      </w:hyperlink>
      <w:hyperlink r:id="rId8">
        <w:r>
          <w:rPr>
            <w:color w:val="000000"/>
            <w:sz w:val="22"/>
            <w:szCs w:val="22"/>
          </w:rPr>
          <w:t>. 2014;370(23):2161-2163.</w:t>
        </w:r>
      </w:hyperlink>
    </w:p>
    <w:p w14:paraId="1ABF92DE" w14:textId="5FEB5903" w:rsidR="004001AF"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2</w:t>
      </w:r>
      <w:r w:rsidR="00635715">
        <w:rPr>
          <w:color w:val="000000"/>
          <w:sz w:val="22"/>
          <w:szCs w:val="22"/>
        </w:rPr>
        <w:t xml:space="preserve">. </w:t>
      </w:r>
      <w:r w:rsidR="00635715">
        <w:rPr>
          <w:color w:val="000000"/>
          <w:sz w:val="22"/>
          <w:szCs w:val="22"/>
        </w:rPr>
        <w:tab/>
      </w:r>
      <w:hyperlink r:id="rId9">
        <w:proofErr w:type="spellStart"/>
        <w:r w:rsidR="00635715">
          <w:rPr>
            <w:color w:val="000000"/>
            <w:sz w:val="22"/>
            <w:szCs w:val="22"/>
          </w:rPr>
          <w:t>Denaxas</w:t>
        </w:r>
        <w:proofErr w:type="spellEnd"/>
        <w:r w:rsidR="00635715">
          <w:rPr>
            <w:color w:val="000000"/>
            <w:sz w:val="22"/>
            <w:szCs w:val="22"/>
          </w:rPr>
          <w:t xml:space="preserve"> S, </w:t>
        </w:r>
        <w:proofErr w:type="spellStart"/>
        <w:r w:rsidR="00635715">
          <w:rPr>
            <w:color w:val="000000"/>
            <w:sz w:val="22"/>
            <w:szCs w:val="22"/>
          </w:rPr>
          <w:t>Direk</w:t>
        </w:r>
        <w:proofErr w:type="spellEnd"/>
        <w:r w:rsidR="00635715">
          <w:rPr>
            <w:color w:val="000000"/>
            <w:sz w:val="22"/>
            <w:szCs w:val="22"/>
          </w:rPr>
          <w:t xml:space="preserve"> K, Gonzalez-</w:t>
        </w:r>
        <w:proofErr w:type="spellStart"/>
        <w:r w:rsidR="00635715">
          <w:rPr>
            <w:color w:val="000000"/>
            <w:sz w:val="22"/>
            <w:szCs w:val="22"/>
          </w:rPr>
          <w:t>Izquierdo</w:t>
        </w:r>
        <w:proofErr w:type="spellEnd"/>
        <w:r w:rsidR="00635715">
          <w:rPr>
            <w:color w:val="000000"/>
            <w:sz w:val="22"/>
            <w:szCs w:val="22"/>
          </w:rPr>
          <w:t xml:space="preserve"> A, et al. Methods for enhancing the reproducibility of biomedical research findings using electronic health records. </w:t>
        </w:r>
      </w:hyperlink>
      <w:hyperlink r:id="rId10">
        <w:proofErr w:type="spellStart"/>
        <w:r w:rsidR="00635715">
          <w:rPr>
            <w:i/>
            <w:color w:val="000000"/>
            <w:sz w:val="22"/>
            <w:szCs w:val="22"/>
          </w:rPr>
          <w:t>BioData</w:t>
        </w:r>
        <w:proofErr w:type="spellEnd"/>
        <w:r w:rsidR="00635715">
          <w:rPr>
            <w:i/>
            <w:color w:val="000000"/>
            <w:sz w:val="22"/>
            <w:szCs w:val="22"/>
          </w:rPr>
          <w:t xml:space="preserve"> Min</w:t>
        </w:r>
      </w:hyperlink>
      <w:hyperlink r:id="rId11">
        <w:r w:rsidR="00635715">
          <w:rPr>
            <w:color w:val="000000"/>
            <w:sz w:val="22"/>
            <w:szCs w:val="22"/>
          </w:rPr>
          <w:t xml:space="preserve">. </w:t>
        </w:r>
        <w:proofErr w:type="gramStart"/>
        <w:r w:rsidR="00635715">
          <w:rPr>
            <w:color w:val="000000"/>
            <w:sz w:val="22"/>
            <w:szCs w:val="22"/>
          </w:rPr>
          <w:t>2017;10:31</w:t>
        </w:r>
        <w:proofErr w:type="gramEnd"/>
        <w:r w:rsidR="00635715">
          <w:rPr>
            <w:color w:val="000000"/>
            <w:sz w:val="22"/>
            <w:szCs w:val="22"/>
          </w:rPr>
          <w:t>.</w:t>
        </w:r>
      </w:hyperlink>
    </w:p>
    <w:p w14:paraId="370AA37E" w14:textId="77777777" w:rsidR="001E383D"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3</w:t>
      </w:r>
      <w:r w:rsidR="00635715">
        <w:rPr>
          <w:color w:val="000000"/>
          <w:sz w:val="22"/>
          <w:szCs w:val="22"/>
        </w:rPr>
        <w:t xml:space="preserve">. </w:t>
      </w:r>
      <w:r w:rsidR="00635715">
        <w:rPr>
          <w:color w:val="000000"/>
          <w:sz w:val="22"/>
          <w:szCs w:val="22"/>
        </w:rPr>
        <w:tab/>
      </w:r>
      <w:hyperlink r:id="rId12">
        <w:r w:rsidR="00635715">
          <w:rPr>
            <w:color w:val="000000"/>
            <w:sz w:val="22"/>
            <w:szCs w:val="22"/>
          </w:rPr>
          <w:t xml:space="preserve">Wilson G, </w:t>
        </w:r>
        <w:proofErr w:type="spellStart"/>
        <w:r w:rsidR="00635715">
          <w:rPr>
            <w:color w:val="000000"/>
            <w:sz w:val="22"/>
            <w:szCs w:val="22"/>
          </w:rPr>
          <w:t>Aruliah</w:t>
        </w:r>
        <w:proofErr w:type="spellEnd"/>
        <w:r w:rsidR="00635715">
          <w:rPr>
            <w:color w:val="000000"/>
            <w:sz w:val="22"/>
            <w:szCs w:val="22"/>
          </w:rPr>
          <w:t xml:space="preserve"> DA, Brown CT, et al. Best practices for scientific computing. </w:t>
        </w:r>
      </w:hyperlink>
      <w:hyperlink r:id="rId13">
        <w:proofErr w:type="spellStart"/>
        <w:r w:rsidR="00635715">
          <w:rPr>
            <w:i/>
            <w:color w:val="000000"/>
            <w:sz w:val="22"/>
            <w:szCs w:val="22"/>
          </w:rPr>
          <w:t>PLoS</w:t>
        </w:r>
        <w:proofErr w:type="spellEnd"/>
        <w:r w:rsidR="00635715">
          <w:rPr>
            <w:i/>
            <w:color w:val="000000"/>
            <w:sz w:val="22"/>
            <w:szCs w:val="22"/>
          </w:rPr>
          <w:t xml:space="preserve"> Biol</w:t>
        </w:r>
      </w:hyperlink>
      <w:hyperlink r:id="rId14">
        <w:r w:rsidR="00635715">
          <w:rPr>
            <w:color w:val="000000"/>
            <w:sz w:val="22"/>
            <w:szCs w:val="22"/>
          </w:rPr>
          <w:t>. 2014;12(1</w:t>
        </w:r>
        <w:proofErr w:type="gramStart"/>
        <w:r w:rsidR="00635715">
          <w:rPr>
            <w:color w:val="000000"/>
            <w:sz w:val="22"/>
            <w:szCs w:val="22"/>
          </w:rPr>
          <w:t>):e</w:t>
        </w:r>
        <w:proofErr w:type="gramEnd"/>
        <w:r w:rsidR="00635715">
          <w:rPr>
            <w:color w:val="000000"/>
            <w:sz w:val="22"/>
            <w:szCs w:val="22"/>
          </w:rPr>
          <w:t>1001745.</w:t>
        </w:r>
      </w:hyperlink>
    </w:p>
    <w:p w14:paraId="10ED34BE" w14:textId="668077AE" w:rsidR="001E383D"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4.</w:t>
      </w:r>
      <w:r>
        <w:rPr>
          <w:color w:val="000000"/>
          <w:sz w:val="22"/>
          <w:szCs w:val="22"/>
        </w:rPr>
        <w:tab/>
      </w:r>
      <w:hyperlink r:id="rId15">
        <w:r>
          <w:rPr>
            <w:color w:val="000000"/>
            <w:sz w:val="22"/>
            <w:szCs w:val="22"/>
          </w:rPr>
          <w:t xml:space="preserve">Wilson G, Bryan J, Cranston K, </w:t>
        </w:r>
        <w:proofErr w:type="spellStart"/>
        <w:r>
          <w:rPr>
            <w:color w:val="000000"/>
            <w:sz w:val="22"/>
            <w:szCs w:val="22"/>
          </w:rPr>
          <w:t>Kitzes</w:t>
        </w:r>
        <w:proofErr w:type="spellEnd"/>
        <w:r>
          <w:rPr>
            <w:color w:val="000000"/>
            <w:sz w:val="22"/>
            <w:szCs w:val="22"/>
          </w:rPr>
          <w:t xml:space="preserve"> J, </w:t>
        </w:r>
        <w:proofErr w:type="spellStart"/>
        <w:r>
          <w:rPr>
            <w:color w:val="000000"/>
            <w:sz w:val="22"/>
            <w:szCs w:val="22"/>
          </w:rPr>
          <w:t>Nederbragt</w:t>
        </w:r>
        <w:proofErr w:type="spellEnd"/>
        <w:r>
          <w:rPr>
            <w:color w:val="000000"/>
            <w:sz w:val="22"/>
            <w:szCs w:val="22"/>
          </w:rPr>
          <w:t xml:space="preserve"> L, Teal TK. Good enough practices in scientific computing. </w:t>
        </w:r>
      </w:hyperlink>
      <w:hyperlink r:id="rId16">
        <w:proofErr w:type="spellStart"/>
        <w:r>
          <w:rPr>
            <w:i/>
            <w:color w:val="000000"/>
            <w:sz w:val="22"/>
            <w:szCs w:val="22"/>
          </w:rPr>
          <w:t>PLoS</w:t>
        </w:r>
        <w:proofErr w:type="spellEnd"/>
        <w:r>
          <w:rPr>
            <w:i/>
            <w:color w:val="000000"/>
            <w:sz w:val="22"/>
            <w:szCs w:val="22"/>
          </w:rPr>
          <w:t xml:space="preserve"> </w:t>
        </w:r>
        <w:proofErr w:type="spellStart"/>
        <w:r>
          <w:rPr>
            <w:i/>
            <w:color w:val="000000"/>
            <w:sz w:val="22"/>
            <w:szCs w:val="22"/>
          </w:rPr>
          <w:t>Comput</w:t>
        </w:r>
        <w:proofErr w:type="spellEnd"/>
        <w:r>
          <w:rPr>
            <w:i/>
            <w:color w:val="000000"/>
            <w:sz w:val="22"/>
            <w:szCs w:val="22"/>
          </w:rPr>
          <w:t xml:space="preserve"> Biol</w:t>
        </w:r>
      </w:hyperlink>
      <w:hyperlink r:id="rId17">
        <w:r>
          <w:rPr>
            <w:color w:val="000000"/>
            <w:sz w:val="22"/>
            <w:szCs w:val="22"/>
          </w:rPr>
          <w:t>. 2017;13(6</w:t>
        </w:r>
        <w:proofErr w:type="gramStart"/>
        <w:r>
          <w:rPr>
            <w:color w:val="000000"/>
            <w:sz w:val="22"/>
            <w:szCs w:val="22"/>
          </w:rPr>
          <w:t>):e</w:t>
        </w:r>
        <w:proofErr w:type="gramEnd"/>
        <w:r>
          <w:rPr>
            <w:color w:val="000000"/>
            <w:sz w:val="22"/>
            <w:szCs w:val="22"/>
          </w:rPr>
          <w:t>1005510.</w:t>
        </w:r>
      </w:hyperlink>
    </w:p>
    <w:p w14:paraId="624D6392" w14:textId="7A76D95C" w:rsidR="004001AF"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5</w:t>
      </w:r>
      <w:r w:rsidR="00635715">
        <w:rPr>
          <w:color w:val="000000"/>
          <w:sz w:val="22"/>
          <w:szCs w:val="22"/>
        </w:rPr>
        <w:t xml:space="preserve">. </w:t>
      </w:r>
      <w:r w:rsidR="00635715">
        <w:rPr>
          <w:color w:val="000000"/>
          <w:sz w:val="22"/>
          <w:szCs w:val="22"/>
        </w:rPr>
        <w:tab/>
      </w:r>
      <w:hyperlink r:id="rId18">
        <w:proofErr w:type="spellStart"/>
        <w:r w:rsidR="00635715">
          <w:rPr>
            <w:color w:val="000000"/>
            <w:sz w:val="22"/>
            <w:szCs w:val="22"/>
          </w:rPr>
          <w:t>Nosek</w:t>
        </w:r>
        <w:proofErr w:type="spellEnd"/>
        <w:r w:rsidR="00635715">
          <w:rPr>
            <w:color w:val="000000"/>
            <w:sz w:val="22"/>
            <w:szCs w:val="22"/>
          </w:rPr>
          <w:t xml:space="preserve"> BA, Alter G, Banks GC, et al. Promoting an open research culture. </w:t>
        </w:r>
      </w:hyperlink>
      <w:hyperlink r:id="rId19">
        <w:r w:rsidR="00635715">
          <w:rPr>
            <w:i/>
            <w:color w:val="000000"/>
            <w:sz w:val="22"/>
            <w:szCs w:val="22"/>
          </w:rPr>
          <w:t>Science</w:t>
        </w:r>
      </w:hyperlink>
      <w:hyperlink r:id="rId20">
        <w:r w:rsidR="00635715">
          <w:rPr>
            <w:color w:val="000000"/>
            <w:sz w:val="22"/>
            <w:szCs w:val="22"/>
          </w:rPr>
          <w:t>. 2015;348(6242):1422-1425. doi:</w:t>
        </w:r>
      </w:hyperlink>
      <w:hyperlink r:id="rId21">
        <w:r w:rsidR="00635715">
          <w:rPr>
            <w:color w:val="000000"/>
            <w:sz w:val="22"/>
            <w:szCs w:val="22"/>
          </w:rPr>
          <w:t>10.1126/</w:t>
        </w:r>
        <w:proofErr w:type="gramStart"/>
        <w:r w:rsidR="00635715">
          <w:rPr>
            <w:color w:val="000000"/>
            <w:sz w:val="22"/>
            <w:szCs w:val="22"/>
          </w:rPr>
          <w:t>science.aab</w:t>
        </w:r>
        <w:proofErr w:type="gramEnd"/>
        <w:r w:rsidR="00635715">
          <w:rPr>
            <w:color w:val="000000"/>
            <w:sz w:val="22"/>
            <w:szCs w:val="22"/>
          </w:rPr>
          <w:t>2374</w:t>
        </w:r>
      </w:hyperlink>
    </w:p>
    <w:p w14:paraId="3C7AE4F1" w14:textId="05D5262E" w:rsidR="004001AF" w:rsidRDefault="004001AF" w:rsidP="001E383D">
      <w:pPr>
        <w:widowControl w:val="0"/>
        <w:pBdr>
          <w:top w:val="nil"/>
          <w:left w:val="nil"/>
          <w:bottom w:val="nil"/>
          <w:right w:val="nil"/>
          <w:between w:val="nil"/>
        </w:pBdr>
        <w:spacing w:after="220"/>
        <w:rPr>
          <w:color w:val="000000"/>
          <w:sz w:val="22"/>
          <w:szCs w:val="22"/>
        </w:rPr>
      </w:pPr>
    </w:p>
    <w:p w14:paraId="51ADBB21" w14:textId="77777777" w:rsidR="00A16B1B" w:rsidRDefault="00A16B1B">
      <w:pPr>
        <w:rPr>
          <w:sz w:val="22"/>
          <w:szCs w:val="22"/>
        </w:rPr>
      </w:pPr>
    </w:p>
    <w:sectPr w:rsidR="00A16B1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27453"/>
    <w:multiLevelType w:val="hybridMultilevel"/>
    <w:tmpl w:val="19D0B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AF"/>
    <w:rsid w:val="0008403F"/>
    <w:rsid w:val="00111181"/>
    <w:rsid w:val="0016250C"/>
    <w:rsid w:val="001E383D"/>
    <w:rsid w:val="0026511B"/>
    <w:rsid w:val="00287A33"/>
    <w:rsid w:val="002F415C"/>
    <w:rsid w:val="00382105"/>
    <w:rsid w:val="004001AF"/>
    <w:rsid w:val="00572214"/>
    <w:rsid w:val="00635715"/>
    <w:rsid w:val="00732A88"/>
    <w:rsid w:val="008440B8"/>
    <w:rsid w:val="00891F9E"/>
    <w:rsid w:val="009A413F"/>
    <w:rsid w:val="009D759C"/>
    <w:rsid w:val="00A14616"/>
    <w:rsid w:val="00A16B1B"/>
    <w:rsid w:val="00AF6B24"/>
    <w:rsid w:val="00B72F94"/>
    <w:rsid w:val="00CB59D4"/>
    <w:rsid w:val="00CD3966"/>
    <w:rsid w:val="00CF704A"/>
    <w:rsid w:val="00D72B60"/>
    <w:rsid w:val="00E6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5812"/>
  <w15:docId w15:val="{4AA31720-8C3D-054E-8F50-A2EB6198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6B1B"/>
    <w:pPr>
      <w:ind w:left="720"/>
      <w:contextualSpacing/>
    </w:pPr>
  </w:style>
  <w:style w:type="paragraph" w:styleId="BalloonText">
    <w:name w:val="Balloon Text"/>
    <w:basedOn w:val="Normal"/>
    <w:link w:val="BalloonTextChar"/>
    <w:uiPriority w:val="99"/>
    <w:semiHidden/>
    <w:unhideWhenUsed/>
    <w:rsid w:val="00AF6B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6B24"/>
    <w:rPr>
      <w:rFonts w:ascii="Times New Roman" w:hAnsi="Times New Roman" w:cs="Times New Roman"/>
      <w:sz w:val="18"/>
      <w:szCs w:val="18"/>
    </w:rPr>
  </w:style>
  <w:style w:type="character" w:customStyle="1" w:styleId="apple-converted-space">
    <w:name w:val="apple-converted-space"/>
    <w:basedOn w:val="DefaultParagraphFont"/>
    <w:rsid w:val="0016250C"/>
  </w:style>
  <w:style w:type="character" w:styleId="Hyperlink">
    <w:name w:val="Hyperlink"/>
    <w:basedOn w:val="DefaultParagraphFont"/>
    <w:uiPriority w:val="99"/>
    <w:semiHidden/>
    <w:unhideWhenUsed/>
    <w:rsid w:val="001625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912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aperpile.com/b/feNNvC/xmLz" TargetMode="External"/><Relationship Id="rId13" Type="http://schemas.openxmlformats.org/officeDocument/2006/relationships/hyperlink" Target="http://paperpile.com/b/feNNvC/RTAs" TargetMode="External"/><Relationship Id="rId18" Type="http://schemas.openxmlformats.org/officeDocument/2006/relationships/hyperlink" Target="http://paperpile.com/b/feNNvC/yoH2" TargetMode="External"/><Relationship Id="rId3" Type="http://schemas.openxmlformats.org/officeDocument/2006/relationships/settings" Target="settings.xml"/><Relationship Id="rId21" Type="http://schemas.openxmlformats.org/officeDocument/2006/relationships/hyperlink" Target="http://dx.doi.org/10.1126/science.aab2374" TargetMode="External"/><Relationship Id="rId7" Type="http://schemas.openxmlformats.org/officeDocument/2006/relationships/hyperlink" Target="http://paperpile.com/b/feNNvC/xmLz" TargetMode="External"/><Relationship Id="rId12" Type="http://schemas.openxmlformats.org/officeDocument/2006/relationships/hyperlink" Target="http://paperpile.com/b/feNNvC/RTAs" TargetMode="External"/><Relationship Id="rId17" Type="http://schemas.openxmlformats.org/officeDocument/2006/relationships/hyperlink" Target="http://paperpile.com/b/feNNvC/8ZXX" TargetMode="External"/><Relationship Id="rId2" Type="http://schemas.openxmlformats.org/officeDocument/2006/relationships/styles" Target="styles.xml"/><Relationship Id="rId16" Type="http://schemas.openxmlformats.org/officeDocument/2006/relationships/hyperlink" Target="http://paperpile.com/b/feNNvC/8ZXX" TargetMode="External"/><Relationship Id="rId20" Type="http://schemas.openxmlformats.org/officeDocument/2006/relationships/hyperlink" Target="http://paperpile.com/b/feNNvC/yoH2" TargetMode="External"/><Relationship Id="rId1" Type="http://schemas.openxmlformats.org/officeDocument/2006/relationships/numbering" Target="numbering.xml"/><Relationship Id="rId6" Type="http://schemas.openxmlformats.org/officeDocument/2006/relationships/hyperlink" Target="http://paperpile.com/b/feNNvC/xmLz" TargetMode="External"/><Relationship Id="rId11" Type="http://schemas.openxmlformats.org/officeDocument/2006/relationships/hyperlink" Target="http://paperpile.com/b/feNNvC/gC4V" TargetMode="External"/><Relationship Id="rId5" Type="http://schemas.openxmlformats.org/officeDocument/2006/relationships/hyperlink" Target="https://nam05.safelinks.protection.outlook.com/?url=https%3A%2F%2Fgithub.com%2FrAndrewTaylor%2Fed-repoducibility&amp;data=02%7C01%7Crichard.taylor%40yale.edu%7Cff0f162f4f6f40d4e92908d7d152c672%7Cdd8cbebb21394df8b4114e3e87abeb5c%7C0%7C0%7C637208025871534796&amp;sdata=giCfcNLaKydDiYrJuEYPYWJLITqaVktKXLU3wWfw8F0%3D&amp;reserved=0" TargetMode="External"/><Relationship Id="rId15" Type="http://schemas.openxmlformats.org/officeDocument/2006/relationships/hyperlink" Target="http://paperpile.com/b/feNNvC/8ZXX" TargetMode="External"/><Relationship Id="rId23" Type="http://schemas.openxmlformats.org/officeDocument/2006/relationships/theme" Target="theme/theme1.xml"/><Relationship Id="rId10" Type="http://schemas.openxmlformats.org/officeDocument/2006/relationships/hyperlink" Target="http://paperpile.com/b/feNNvC/gC4V" TargetMode="External"/><Relationship Id="rId19" Type="http://schemas.openxmlformats.org/officeDocument/2006/relationships/hyperlink" Target="http://paperpile.com/b/feNNvC/yoH2" TargetMode="External"/><Relationship Id="rId4" Type="http://schemas.openxmlformats.org/officeDocument/2006/relationships/webSettings" Target="webSettings.xml"/><Relationship Id="rId9" Type="http://schemas.openxmlformats.org/officeDocument/2006/relationships/hyperlink" Target="http://paperpile.com/b/feNNvC/gC4V" TargetMode="External"/><Relationship Id="rId14" Type="http://schemas.openxmlformats.org/officeDocument/2006/relationships/hyperlink" Target="http://paperpile.com/b/feNNvC/RT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Andrew</cp:lastModifiedBy>
  <cp:revision>3</cp:revision>
  <dcterms:created xsi:type="dcterms:W3CDTF">2020-03-26T12:53:00Z</dcterms:created>
  <dcterms:modified xsi:type="dcterms:W3CDTF">2020-03-26T13:29:00Z</dcterms:modified>
</cp:coreProperties>
</file>