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Arial" w:cs="Arial" w:eastAsia="Arial" w:hAnsi="Arial"/>
          <w:b/>
          <w:bCs/>
          <w:color w:val="1F3864"/>
          <w:sz w:val="48"/>
          <w:szCs w:val="48"/>
        </w:rPr>
        <w:t xml:space="preserve">Search Strategy &amp; Methodology</w:t>
      </w:r>
    </w:p>
    <w:p>
      <w:pPr>
        <w:spacing w:after="100"/>
        <w:jc w:val="center"/>
      </w:pPr>
      <w:r>
        <w:rPr>
          <w:rFonts w:ascii="Arial" w:cs="Arial" w:eastAsia="Arial" w:hAnsi="Arial"/>
          <w:color w:val="404040"/>
          <w:sz w:val="28"/>
          <w:szCs w:val="28"/>
        </w:rPr>
        <w:t xml:space="preserve">Literature Reviews for the</w:t>
      </w:r>
    </w:p>
    <w:p>
      <w:pPr>
        <w:spacing w:after="400"/>
        <w:jc w:val="center"/>
      </w:pPr>
      <w:r>
        <w:rPr>
          <w:rFonts w:ascii="Arial" w:cs="Arial" w:eastAsia="Arial" w:hAnsi="Arial"/>
          <w:b/>
          <w:bCs/>
          <w:color w:val="2E75B6"/>
          <w:sz w:val="32"/>
          <w:szCs w:val="32"/>
        </w:rPr>
        <w:t xml:space="preserve">SAEM 2026 AI Consensus Conference</w:t>
      </w:r>
    </w:p>
    <w:p>
      <w:pPr>
        <w:spacing w:after="100"/>
        <w:jc w:val="center"/>
      </w:pPr>
      <w:r>
        <w:rPr>
          <w:rFonts w:ascii="Arial" w:cs="Arial" w:eastAsia="Arial" w:hAnsi="Arial"/>
          <w:color w:val="666666"/>
          <w:sz w:val="24"/>
          <w:szCs w:val="24"/>
        </w:rPr>
        <w:t xml:space="preserve">May 21, 2026 — Atlanta, Georgia</w:t>
      </w:r>
    </w:p>
    <w:p>
      <w:pPr>
        <w:spacing w:after="100"/>
        <w:jc w:val="center"/>
      </w:pPr>
      <w:r>
        <w:rPr>
          <w:rFonts w:ascii="Arial" w:cs="Arial" w:eastAsia="Arial" w:hAnsi="Arial"/>
          <w:color w:val="666666"/>
          <w:sz w:val="22"/>
          <w:szCs w:val="22"/>
        </w:rPr>
        <w:t xml:space="preserve">Prepared for: R. Andrew Taylor, MD, MHS — Conference Chair</w:t>
      </w:r>
    </w:p>
    <w:p>
      <w:pPr>
        <w:spacing w:after="800"/>
        <w:jc w:val="center"/>
      </w:pPr>
      <w:r>
        <w:rPr>
          <w:rFonts w:ascii="Arial" w:cs="Arial" w:eastAsia="Arial" w:hAnsi="Arial"/>
          <w:color w:val="666666"/>
          <w:sz w:val="22"/>
          <w:szCs w:val="22"/>
        </w:rPr>
        <w:t xml:space="preserve">Date: April 2026</w:t>
      </w:r>
    </w:p>
    <w:p>
      <w:r>
        <w:br w:type="page"/>
      </w:r>
    </w:p>
    <w:p>
      <w:pPr>
        <w:pStyle w:val="Heading1"/>
      </w:pPr>
      <w:r>
        <w:t xml:space="preserve">1. Overview</w:t>
      </w:r>
    </w:p>
    <w:p>
      <w:pPr>
        <w:spacing w:after="200"/>
      </w:pPr>
      <w:r>
        <w:t xml:space="preserve">This document describes the systematic search strategy used to compile comprehensive literature reviews for each of the five working groups (WGs) of the SAEM 2026 AI Consensus Conference on Artificial Intelligence in Emergency Medicine. The goal was to identify 50–100 high-impact, peer-reviewed articles per working group, published between 2021 and 2026, with a strong emphasis on emergency medicine applications and clinical relevance.</w:t>
      </w:r>
    </w:p>
    <w:p>
      <w:pPr>
        <w:spacing w:after="200"/>
      </w:pPr>
      <w:r>
        <w:t xml:space="preserve">Each working group addresses a distinct domain of AI in emergency medicine:</w:t>
      </w:r>
    </w:p>
    <w:p>
      <w:pPr>
        <w:pStyle w:val="ListParagraph"/>
        <w:numPr>
          <w:ilvl w:val="0"/>
          <w:numId w:val="2"/>
        </w:numPr>
        <w:spacing w:after="80"/>
      </w:pPr>
      <w:r>
        <w:rPr>
          <w:sz w:val="22"/>
          <w:szCs w:val="22"/>
        </w:rPr>
        <w:t xml:space="preserve">WG1: Clinical Practice &amp; Operations — AI applications in ED diagnosis, triage, imaging, sepsis detection, clinical decision support, and operational optimization</w:t>
      </w:r>
    </w:p>
    <w:p>
      <w:pPr>
        <w:pStyle w:val="ListParagraph"/>
        <w:numPr>
          <w:ilvl w:val="0"/>
          <w:numId w:val="2"/>
        </w:numPr>
        <w:spacing w:after="80"/>
      </w:pPr>
      <w:r>
        <w:rPr>
          <w:sz w:val="22"/>
          <w:szCs w:val="22"/>
        </w:rPr>
        <w:t xml:space="preserve">WG2: Data Infrastructure, Governance &amp; Privacy — Health data systems, interoperability, federated learning, de-identification, governance frameworks, and cybersecurity</w:t>
      </w:r>
    </w:p>
    <w:p>
      <w:pPr>
        <w:pStyle w:val="ListParagraph"/>
        <w:numPr>
          <w:ilvl w:val="0"/>
          <w:numId w:val="2"/>
        </w:numPr>
        <w:spacing w:after="80"/>
      </w:pPr>
      <w:r>
        <w:rPr>
          <w:sz w:val="22"/>
          <w:szCs w:val="22"/>
        </w:rPr>
        <w:t xml:space="preserve">WG3: Education, Training &amp; Competency — AI literacy, medical curricula, simulation training, competency frameworks, faculty development, and LLMs in education</w:t>
      </w:r>
    </w:p>
    <w:p>
      <w:pPr>
        <w:pStyle w:val="ListParagraph"/>
        <w:numPr>
          <w:ilvl w:val="0"/>
          <w:numId w:val="2"/>
        </w:numPr>
        <w:spacing w:after="80"/>
      </w:pPr>
      <w:r>
        <w:rPr>
          <w:sz w:val="22"/>
          <w:szCs w:val="22"/>
        </w:rPr>
        <w:t xml:space="preserve">WG4: Human-AI Interaction &amp; Self — Trust, explainability, workflow integration, cognitive load, automation bias, alert fatigue, and clinician wellbeing</w:t>
      </w:r>
    </w:p>
    <w:p>
      <w:pPr>
        <w:pStyle w:val="ListParagraph"/>
        <w:numPr>
          <w:ilvl w:val="0"/>
          <w:numId w:val="2"/>
        </w:numPr>
        <w:spacing w:after="80"/>
      </w:pPr>
      <w:r>
        <w:rPr>
          <w:sz w:val="22"/>
          <w:szCs w:val="22"/>
        </w:rPr>
        <w:t xml:space="preserve">WG5: Ethics, Legal &amp; Societal — Algorithmic bias, liability, FDA regulation, informed consent, health equity, and global access</w:t>
      </w:r>
    </w:p>
    <w:p>
      <w:pPr>
        <w:pStyle w:val="Heading1"/>
      </w:pPr>
      <w:r>
        <w:t xml:space="preserve">2. Inclusion and Exclusion Criteria</w:t>
      </w:r>
    </w:p>
    <w:p>
      <w:pPr>
        <w:pStyle w:val="Heading2"/>
      </w:pPr>
      <w:r>
        <w:t xml:space="preserve">2.1 Inclusion Criteria</w:t>
      </w:r>
    </w:p>
    <w:p>
      <w:pPr>
        <w:pStyle w:val="ListParagraph"/>
        <w:numPr>
          <w:ilvl w:val="0"/>
          <w:numId w:val="2"/>
        </w:numPr>
        <w:spacing w:after="80"/>
      </w:pPr>
      <w:r>
        <w:rPr>
          <w:sz w:val="22"/>
          <w:szCs w:val="22"/>
        </w:rPr>
        <w:t xml:space="preserve">Publication date: January 2021 – April 2026 (5-year window)</w:t>
      </w:r>
    </w:p>
    <w:p>
      <w:pPr>
        <w:pStyle w:val="ListParagraph"/>
        <w:numPr>
          <w:ilvl w:val="0"/>
          <w:numId w:val="2"/>
        </w:numPr>
        <w:spacing w:after="80"/>
      </w:pPr>
      <w:r>
        <w:rPr>
          <w:sz w:val="22"/>
          <w:szCs w:val="22"/>
        </w:rPr>
        <w:t xml:space="preserve">Peer-reviewed original research, systematic reviews, meta-analyses, scoping reviews, narrative reviews, randomized controlled trials, prospective/retrospective cohort studies, and expert consensus/guideline documents</w:t>
      </w:r>
    </w:p>
    <w:p>
      <w:pPr>
        <w:pStyle w:val="ListParagraph"/>
        <w:numPr>
          <w:ilvl w:val="0"/>
          <w:numId w:val="2"/>
        </w:numPr>
        <w:spacing w:after="80"/>
      </w:pPr>
      <w:r>
        <w:rPr>
          <w:sz w:val="22"/>
          <w:szCs w:val="22"/>
        </w:rPr>
        <w:t xml:space="preserve">Topic relevance: Direct application to or significant implications for AI in emergency medicine and acute care</w:t>
      </w:r>
    </w:p>
    <w:p>
      <w:pPr>
        <w:pStyle w:val="ListParagraph"/>
        <w:numPr>
          <w:ilvl w:val="0"/>
          <w:numId w:val="2"/>
        </w:numPr>
        <w:spacing w:after="80"/>
      </w:pPr>
      <w:r>
        <w:rPr>
          <w:sz w:val="22"/>
          <w:szCs w:val="22"/>
        </w:rPr>
        <w:t xml:space="preserve">Language: English-language publications</w:t>
      </w:r>
    </w:p>
    <w:p>
      <w:pPr>
        <w:pStyle w:val="ListParagraph"/>
        <w:numPr>
          <w:ilvl w:val="0"/>
          <w:numId w:val="2"/>
        </w:numPr>
        <w:spacing w:after="80"/>
      </w:pPr>
      <w:r>
        <w:rPr>
          <w:sz w:val="22"/>
          <w:szCs w:val="22"/>
        </w:rPr>
        <w:t xml:space="preserve">Journal impact: Priority given to emergency medicine journals, top-tier general medical journals, and leading informatics/AI journals</w:t>
      </w:r>
    </w:p>
    <w:p>
      <w:pPr>
        <w:pStyle w:val="ListParagraph"/>
        <w:numPr>
          <w:ilvl w:val="0"/>
          <w:numId w:val="2"/>
        </w:numPr>
        <w:spacing w:after="80"/>
      </w:pPr>
      <w:r>
        <w:rPr>
          <w:sz w:val="22"/>
          <w:szCs w:val="22"/>
        </w:rPr>
        <w:t xml:space="preserve">Study quality: Preference for multi-center studies, large sample sizes, prospective designs, and validated outcomes</w:t>
      </w:r>
    </w:p>
    <w:p>
      <w:pPr>
        <w:pStyle w:val="Heading2"/>
      </w:pPr>
      <w:r>
        <w:t xml:space="preserve">2.2 Exclusion Criteria</w:t>
      </w:r>
    </w:p>
    <w:p>
      <w:pPr>
        <w:pStyle w:val="ListParagraph"/>
        <w:numPr>
          <w:ilvl w:val="0"/>
          <w:numId w:val="2"/>
        </w:numPr>
        <w:spacing w:after="80"/>
      </w:pPr>
      <w:r>
        <w:rPr>
          <w:sz w:val="22"/>
          <w:szCs w:val="22"/>
        </w:rPr>
        <w:t xml:space="preserve">Articles published before January 2021</w:t>
      </w:r>
    </w:p>
    <w:p>
      <w:pPr>
        <w:pStyle w:val="ListParagraph"/>
        <w:numPr>
          <w:ilvl w:val="0"/>
          <w:numId w:val="2"/>
        </w:numPr>
        <w:spacing w:after="80"/>
      </w:pPr>
      <w:r>
        <w:rPr>
          <w:sz w:val="22"/>
          <w:szCs w:val="22"/>
        </w:rPr>
        <w:t xml:space="preserve">Non-peer-reviewed sources (preprints, white papers, blog posts, news articles) unless from recognized bodies (e.g., FDA guidance documents, WHO reports)</w:t>
      </w:r>
    </w:p>
    <w:p>
      <w:pPr>
        <w:pStyle w:val="ListParagraph"/>
        <w:numPr>
          <w:ilvl w:val="0"/>
          <w:numId w:val="2"/>
        </w:numPr>
        <w:spacing w:after="80"/>
      </w:pPr>
      <w:r>
        <w:rPr>
          <w:sz w:val="22"/>
          <w:szCs w:val="22"/>
        </w:rPr>
        <w:t xml:space="preserve">Case reports with fewer than 10 patients</w:t>
      </w:r>
    </w:p>
    <w:p>
      <w:pPr>
        <w:pStyle w:val="ListParagraph"/>
        <w:numPr>
          <w:ilvl w:val="0"/>
          <w:numId w:val="2"/>
        </w:numPr>
        <w:spacing w:after="80"/>
      </w:pPr>
      <w:r>
        <w:rPr>
          <w:sz w:val="22"/>
          <w:szCs w:val="22"/>
        </w:rPr>
        <w:t xml:space="preserve">Studies with no direct relevance to healthcare AI or emergency medicine</w:t>
      </w:r>
    </w:p>
    <w:p>
      <w:pPr>
        <w:pStyle w:val="ListParagraph"/>
        <w:numPr>
          <w:ilvl w:val="0"/>
          <w:numId w:val="2"/>
        </w:numPr>
        <w:spacing w:after="80"/>
      </w:pPr>
      <w:r>
        <w:rPr>
          <w:sz w:val="22"/>
          <w:szCs w:val="22"/>
        </w:rPr>
        <w:t xml:space="preserve">Duplicate publications of the same dataset without novel analysis</w:t>
      </w:r>
    </w:p>
    <w:p>
      <w:pPr>
        <w:pStyle w:val="ListParagraph"/>
        <w:numPr>
          <w:ilvl w:val="0"/>
          <w:numId w:val="2"/>
        </w:numPr>
        <w:spacing w:after="80"/>
      </w:pPr>
      <w:r>
        <w:rPr>
          <w:sz w:val="22"/>
          <w:szCs w:val="22"/>
        </w:rPr>
        <w:t xml:space="preserve">Articles not available in English</w:t>
      </w:r>
    </w:p>
    <w:p>
      <w:pPr>
        <w:pStyle w:val="Heading1"/>
      </w:pPr>
      <w:r>
        <w:t xml:space="preserve">3. Search Strategy</w:t>
      </w:r>
    </w:p>
    <w:p>
      <w:pPr>
        <w:pStyle w:val="Heading2"/>
      </w:pPr>
      <w:r>
        <w:t xml:space="preserve">3.1 Databases and Sources</w:t>
      </w:r>
    </w:p>
    <w:p>
      <w:pPr>
        <w:spacing w:after="200"/>
      </w:pPr>
      <w:r>
        <w:t xml:space="preserve">The following databases and sources were systematically searched:</w:t>
      </w:r>
    </w:p>
    <w:p>
      <w:pPr>
        <w:pStyle w:val="ListParagraph"/>
        <w:numPr>
          <w:ilvl w:val="0"/>
          <w:numId w:val="2"/>
        </w:numPr>
        <w:spacing w:after="80"/>
      </w:pPr>
      <w:r>
        <w:rPr>
          <w:sz w:val="22"/>
          <w:szCs w:val="22"/>
        </w:rPr>
        <w:t xml:space="preserve">PubMed/MEDLINE — Primary biomedical literature database; searched via web interface and API</w:t>
      </w:r>
    </w:p>
    <w:p>
      <w:pPr>
        <w:pStyle w:val="ListParagraph"/>
        <w:numPr>
          <w:ilvl w:val="0"/>
          <w:numId w:val="2"/>
        </w:numPr>
        <w:spacing w:after="80"/>
      </w:pPr>
      <w:r>
        <w:rPr>
          <w:sz w:val="22"/>
          <w:szCs w:val="22"/>
        </w:rPr>
        <w:t xml:space="preserve">Google Scholar — Broad academic search for cross-disciplinary coverage</w:t>
      </w:r>
    </w:p>
    <w:p>
      <w:pPr>
        <w:pStyle w:val="ListParagraph"/>
        <w:numPr>
          <w:ilvl w:val="0"/>
          <w:numId w:val="2"/>
        </w:numPr>
        <w:spacing w:after="80"/>
      </w:pPr>
      <w:r>
        <w:rPr>
          <w:sz w:val="22"/>
          <w:szCs w:val="22"/>
        </w:rPr>
        <w:t xml:space="preserve">Semantic Scholar — AI-powered academic search with open-access PDF identification</w:t>
      </w:r>
    </w:p>
    <w:p>
      <w:pPr>
        <w:pStyle w:val="ListParagraph"/>
        <w:numPr>
          <w:ilvl w:val="0"/>
          <w:numId w:val="2"/>
        </w:numPr>
        <w:spacing w:after="80"/>
      </w:pPr>
      <w:r>
        <w:rPr>
          <w:sz w:val="22"/>
          <w:szCs w:val="22"/>
        </w:rPr>
        <w:t xml:space="preserve">Unpaywall — Open-access article identification and PDF retrieval</w:t>
      </w:r>
    </w:p>
    <w:p>
      <w:pPr>
        <w:pStyle w:val="ListParagraph"/>
        <w:numPr>
          <w:ilvl w:val="0"/>
          <w:numId w:val="2"/>
        </w:numPr>
        <w:spacing w:after="80"/>
      </w:pPr>
      <w:r>
        <w:rPr>
          <w:sz w:val="22"/>
          <w:szCs w:val="22"/>
        </w:rPr>
        <w:t xml:space="preserve">Web of Science / Scopus — Citation indexing for high-impact articles</w:t>
      </w:r>
    </w:p>
    <w:p>
      <w:pPr>
        <w:pStyle w:val="ListParagraph"/>
        <w:numPr>
          <w:ilvl w:val="0"/>
          <w:numId w:val="2"/>
        </w:numPr>
        <w:spacing w:after="80"/>
      </w:pPr>
      <w:r>
        <w:rPr>
          <w:sz w:val="22"/>
          <w:szCs w:val="22"/>
        </w:rPr>
        <w:t xml:space="preserve">Journal-specific searches — Direct searches of key journal websites (see Section 3.2)</w:t>
      </w:r>
    </w:p>
    <w:p>
      <w:pPr>
        <w:pStyle w:val="ListParagraph"/>
        <w:numPr>
          <w:ilvl w:val="0"/>
          <w:numId w:val="2"/>
        </w:numPr>
        <w:spacing w:after="80"/>
      </w:pPr>
      <w:r>
        <w:rPr>
          <w:sz w:val="22"/>
          <w:szCs w:val="22"/>
        </w:rPr>
        <w:t xml:space="preserve">Reference list mining — Backward citation tracking from key systematic reviews</w:t>
      </w:r>
    </w:p>
    <w:p>
      <w:pPr>
        <w:pStyle w:val="Heading2"/>
      </w:pPr>
      <w:r>
        <w:t xml:space="preserve">3.2 Priority Journals</w:t>
      </w:r>
    </w:p>
    <w:p>
      <w:pPr>
        <w:spacing w:after="100"/>
      </w:pPr>
      <w:r>
        <w:t xml:space="preserve">Articles were prioritized from the following journal categories:</w:t>
      </w:r>
    </w:p>
    <w:p>
      <w:pPr>
        <w:pStyle w:val="Heading3"/>
      </w:pPr>
      <w:r>
        <w:t xml:space="preserve">Emergency Medicine Journals (Highest Priority)</w:t>
      </w:r>
    </w:p>
    <w:p>
      <w:pPr>
        <w:pStyle w:val="ListParagraph"/>
        <w:numPr>
          <w:ilvl w:val="0"/>
          <w:numId w:val="2"/>
        </w:numPr>
        <w:spacing w:after="60"/>
      </w:pPr>
      <w:r>
        <w:rPr>
          <w:sz w:val="22"/>
          <w:szCs w:val="22"/>
        </w:rPr>
        <w:t xml:space="preserve">Academic Emergency Medicine</w:t>
      </w:r>
    </w:p>
    <w:p>
      <w:pPr>
        <w:pStyle w:val="ListParagraph"/>
        <w:numPr>
          <w:ilvl w:val="0"/>
          <w:numId w:val="2"/>
        </w:numPr>
        <w:spacing w:after="60"/>
      </w:pPr>
      <w:r>
        <w:rPr>
          <w:sz w:val="22"/>
          <w:szCs w:val="22"/>
        </w:rPr>
        <w:t xml:space="preserve">Annals of Emergency Medicine</w:t>
      </w:r>
    </w:p>
    <w:p>
      <w:pPr>
        <w:pStyle w:val="ListParagraph"/>
        <w:numPr>
          <w:ilvl w:val="0"/>
          <w:numId w:val="2"/>
        </w:numPr>
        <w:spacing w:after="60"/>
      </w:pPr>
      <w:r>
        <w:rPr>
          <w:sz w:val="22"/>
          <w:szCs w:val="22"/>
        </w:rPr>
        <w:t xml:space="preserve">Emergency Medicine Journal</w:t>
      </w:r>
    </w:p>
    <w:p>
      <w:pPr>
        <w:pStyle w:val="ListParagraph"/>
        <w:numPr>
          <w:ilvl w:val="0"/>
          <w:numId w:val="2"/>
        </w:numPr>
        <w:spacing w:after="60"/>
      </w:pPr>
      <w:r>
        <w:rPr>
          <w:sz w:val="22"/>
          <w:szCs w:val="22"/>
        </w:rPr>
        <w:t xml:space="preserve">Journal of Emergency Medicine</w:t>
      </w:r>
    </w:p>
    <w:p>
      <w:pPr>
        <w:pStyle w:val="ListParagraph"/>
        <w:numPr>
          <w:ilvl w:val="0"/>
          <w:numId w:val="2"/>
        </w:numPr>
        <w:spacing w:after="60"/>
      </w:pPr>
      <w:r>
        <w:rPr>
          <w:sz w:val="22"/>
          <w:szCs w:val="22"/>
        </w:rPr>
        <w:t xml:space="preserve">JACEP Open / J Am Coll Emerg Physicians Open</w:t>
      </w:r>
    </w:p>
    <w:p>
      <w:pPr>
        <w:pStyle w:val="ListParagraph"/>
        <w:numPr>
          <w:ilvl w:val="0"/>
          <w:numId w:val="2"/>
        </w:numPr>
        <w:spacing w:after="60"/>
      </w:pPr>
      <w:r>
        <w:rPr>
          <w:sz w:val="22"/>
          <w:szCs w:val="22"/>
        </w:rPr>
        <w:t xml:space="preserve">Western Journal of Emergency Medicine</w:t>
      </w:r>
    </w:p>
    <w:p>
      <w:pPr>
        <w:pStyle w:val="ListParagraph"/>
        <w:numPr>
          <w:ilvl w:val="0"/>
          <w:numId w:val="2"/>
        </w:numPr>
        <w:spacing w:after="60"/>
      </w:pPr>
      <w:r>
        <w:rPr>
          <w:sz w:val="22"/>
          <w:szCs w:val="22"/>
        </w:rPr>
        <w:t xml:space="preserve">Canadian Journal of Emergency Medicine</w:t>
      </w:r>
    </w:p>
    <w:p>
      <w:pPr>
        <w:pStyle w:val="Heading3"/>
      </w:pPr>
      <w:r>
        <w:t xml:space="preserve">High-Impact General Medical Journals</w:t>
      </w:r>
    </w:p>
    <w:p>
      <w:pPr>
        <w:pStyle w:val="ListParagraph"/>
        <w:numPr>
          <w:ilvl w:val="0"/>
          <w:numId w:val="2"/>
        </w:numPr>
        <w:spacing w:after="60"/>
      </w:pPr>
      <w:r>
        <w:rPr>
          <w:sz w:val="22"/>
          <w:szCs w:val="22"/>
        </w:rPr>
        <w:t xml:space="preserve">New England Journal of Medicine (NEJM)</w:t>
      </w:r>
    </w:p>
    <w:p>
      <w:pPr>
        <w:pStyle w:val="ListParagraph"/>
        <w:numPr>
          <w:ilvl w:val="0"/>
          <w:numId w:val="2"/>
        </w:numPr>
        <w:spacing w:after="60"/>
      </w:pPr>
      <w:r>
        <w:rPr>
          <w:sz w:val="22"/>
          <w:szCs w:val="22"/>
        </w:rPr>
        <w:t xml:space="preserve">NEJM AI</w:t>
      </w:r>
    </w:p>
    <w:p>
      <w:pPr>
        <w:pStyle w:val="ListParagraph"/>
        <w:numPr>
          <w:ilvl w:val="0"/>
          <w:numId w:val="2"/>
        </w:numPr>
        <w:spacing w:after="60"/>
      </w:pPr>
      <w:r>
        <w:rPr>
          <w:sz w:val="22"/>
          <w:szCs w:val="22"/>
        </w:rPr>
        <w:t xml:space="preserve">JAMA</w:t>
      </w:r>
    </w:p>
    <w:p>
      <w:pPr>
        <w:pStyle w:val="ListParagraph"/>
        <w:numPr>
          <w:ilvl w:val="0"/>
          <w:numId w:val="2"/>
        </w:numPr>
        <w:spacing w:after="60"/>
      </w:pPr>
      <w:r>
        <w:rPr>
          <w:sz w:val="22"/>
          <w:szCs w:val="22"/>
        </w:rPr>
        <w:t xml:space="preserve">JAMA Network Open</w:t>
      </w:r>
    </w:p>
    <w:p>
      <w:pPr>
        <w:pStyle w:val="ListParagraph"/>
        <w:numPr>
          <w:ilvl w:val="0"/>
          <w:numId w:val="2"/>
        </w:numPr>
        <w:spacing w:after="60"/>
      </w:pPr>
      <w:r>
        <w:rPr>
          <w:sz w:val="22"/>
          <w:szCs w:val="22"/>
        </w:rPr>
        <w:t xml:space="preserve">JAMA Internal Medicine</w:t>
      </w:r>
    </w:p>
    <w:p>
      <w:pPr>
        <w:pStyle w:val="ListParagraph"/>
        <w:numPr>
          <w:ilvl w:val="0"/>
          <w:numId w:val="2"/>
        </w:numPr>
        <w:spacing w:after="60"/>
      </w:pPr>
      <w:r>
        <w:rPr>
          <w:sz w:val="22"/>
          <w:szCs w:val="22"/>
        </w:rPr>
        <w:t xml:space="preserve">The Lancet</w:t>
      </w:r>
    </w:p>
    <w:p>
      <w:pPr>
        <w:pStyle w:val="ListParagraph"/>
        <w:numPr>
          <w:ilvl w:val="0"/>
          <w:numId w:val="2"/>
        </w:numPr>
        <w:spacing w:after="60"/>
      </w:pPr>
      <w:r>
        <w:rPr>
          <w:sz w:val="22"/>
          <w:szCs w:val="22"/>
        </w:rPr>
        <w:t xml:space="preserve">Lancet Digital Health</w:t>
      </w:r>
    </w:p>
    <w:p>
      <w:pPr>
        <w:pStyle w:val="ListParagraph"/>
        <w:numPr>
          <w:ilvl w:val="0"/>
          <w:numId w:val="2"/>
        </w:numPr>
        <w:spacing w:after="60"/>
      </w:pPr>
      <w:r>
        <w:rPr>
          <w:sz w:val="22"/>
          <w:szCs w:val="22"/>
        </w:rPr>
        <w:t xml:space="preserve">Nature Medicine</w:t>
      </w:r>
    </w:p>
    <w:p>
      <w:pPr>
        <w:pStyle w:val="ListParagraph"/>
        <w:numPr>
          <w:ilvl w:val="0"/>
          <w:numId w:val="2"/>
        </w:numPr>
        <w:spacing w:after="60"/>
      </w:pPr>
      <w:r>
        <w:rPr>
          <w:sz w:val="22"/>
          <w:szCs w:val="22"/>
        </w:rPr>
        <w:t xml:space="preserve">Nature</w:t>
      </w:r>
    </w:p>
    <w:p>
      <w:pPr>
        <w:pStyle w:val="ListParagraph"/>
        <w:numPr>
          <w:ilvl w:val="0"/>
          <w:numId w:val="2"/>
        </w:numPr>
        <w:spacing w:after="60"/>
      </w:pPr>
      <w:r>
        <w:rPr>
          <w:sz w:val="22"/>
          <w:szCs w:val="22"/>
        </w:rPr>
        <w:t xml:space="preserve">Science</w:t>
      </w:r>
    </w:p>
    <w:p>
      <w:pPr>
        <w:pStyle w:val="ListParagraph"/>
        <w:numPr>
          <w:ilvl w:val="0"/>
          <w:numId w:val="2"/>
        </w:numPr>
        <w:spacing w:after="60"/>
      </w:pPr>
      <w:r>
        <w:rPr>
          <w:sz w:val="22"/>
          <w:szCs w:val="22"/>
        </w:rPr>
        <w:t xml:space="preserve">BMJ</w:t>
      </w:r>
    </w:p>
    <w:p>
      <w:pPr>
        <w:pStyle w:val="Heading3"/>
      </w:pPr>
      <w:r>
        <w:t xml:space="preserve">Health Informatics &amp; AI Journals</w:t>
      </w:r>
    </w:p>
    <w:p>
      <w:pPr>
        <w:pStyle w:val="ListParagraph"/>
        <w:numPr>
          <w:ilvl w:val="0"/>
          <w:numId w:val="2"/>
        </w:numPr>
        <w:spacing w:after="60"/>
      </w:pPr>
      <w:r>
        <w:rPr>
          <w:sz w:val="22"/>
          <w:szCs w:val="22"/>
        </w:rPr>
        <w:t xml:space="preserve">npj Digital Medicine</w:t>
      </w:r>
    </w:p>
    <w:p>
      <w:pPr>
        <w:pStyle w:val="ListParagraph"/>
        <w:numPr>
          <w:ilvl w:val="0"/>
          <w:numId w:val="2"/>
        </w:numPr>
        <w:spacing w:after="60"/>
      </w:pPr>
      <w:r>
        <w:rPr>
          <w:sz w:val="22"/>
          <w:szCs w:val="22"/>
        </w:rPr>
        <w:t xml:space="preserve">Journal of the American Medical Informatics Association (JAMIA)</w:t>
      </w:r>
    </w:p>
    <w:p>
      <w:pPr>
        <w:pStyle w:val="ListParagraph"/>
        <w:numPr>
          <w:ilvl w:val="0"/>
          <w:numId w:val="2"/>
        </w:numPr>
        <w:spacing w:after="60"/>
      </w:pPr>
      <w:r>
        <w:rPr>
          <w:sz w:val="22"/>
          <w:szCs w:val="22"/>
        </w:rPr>
        <w:t xml:space="preserve">JAMIA Open</w:t>
      </w:r>
    </w:p>
    <w:p>
      <w:pPr>
        <w:pStyle w:val="ListParagraph"/>
        <w:numPr>
          <w:ilvl w:val="0"/>
          <w:numId w:val="2"/>
        </w:numPr>
        <w:spacing w:after="60"/>
      </w:pPr>
      <w:r>
        <w:rPr>
          <w:sz w:val="22"/>
          <w:szCs w:val="22"/>
        </w:rPr>
        <w:t xml:space="preserve">Journal of Medical Internet Research (JMIR)</w:t>
      </w:r>
    </w:p>
    <w:p>
      <w:pPr>
        <w:pStyle w:val="ListParagraph"/>
        <w:numPr>
          <w:ilvl w:val="0"/>
          <w:numId w:val="2"/>
        </w:numPr>
        <w:spacing w:after="60"/>
      </w:pPr>
      <w:r>
        <w:rPr>
          <w:sz w:val="22"/>
          <w:szCs w:val="22"/>
        </w:rPr>
        <w:t xml:space="preserve">JMIR Medical Informatics</w:t>
      </w:r>
    </w:p>
    <w:p>
      <w:pPr>
        <w:pStyle w:val="ListParagraph"/>
        <w:numPr>
          <w:ilvl w:val="0"/>
          <w:numId w:val="2"/>
        </w:numPr>
        <w:spacing w:after="60"/>
      </w:pPr>
      <w:r>
        <w:rPr>
          <w:sz w:val="22"/>
          <w:szCs w:val="22"/>
        </w:rPr>
        <w:t xml:space="preserve">JMIR Medical Education</w:t>
      </w:r>
    </w:p>
    <w:p>
      <w:pPr>
        <w:pStyle w:val="ListParagraph"/>
        <w:numPr>
          <w:ilvl w:val="0"/>
          <w:numId w:val="2"/>
        </w:numPr>
        <w:spacing w:after="60"/>
      </w:pPr>
      <w:r>
        <w:rPr>
          <w:sz w:val="22"/>
          <w:szCs w:val="22"/>
        </w:rPr>
        <w:t xml:space="preserve">International Journal of Medical Informatics</w:t>
      </w:r>
    </w:p>
    <w:p>
      <w:pPr>
        <w:pStyle w:val="ListParagraph"/>
        <w:numPr>
          <w:ilvl w:val="0"/>
          <w:numId w:val="2"/>
        </w:numPr>
        <w:spacing w:after="60"/>
      </w:pPr>
      <w:r>
        <w:rPr>
          <w:sz w:val="22"/>
          <w:szCs w:val="22"/>
        </w:rPr>
        <w:t xml:space="preserve">Journal of Biomedical Informatics</w:t>
      </w:r>
    </w:p>
    <w:p>
      <w:pPr>
        <w:pStyle w:val="ListParagraph"/>
        <w:numPr>
          <w:ilvl w:val="0"/>
          <w:numId w:val="2"/>
        </w:numPr>
        <w:spacing w:after="60"/>
      </w:pPr>
      <w:r>
        <w:rPr>
          <w:sz w:val="22"/>
          <w:szCs w:val="22"/>
        </w:rPr>
        <w:t xml:space="preserve">Artificial Intelligence in Medicine</w:t>
      </w:r>
    </w:p>
    <w:p>
      <w:pPr>
        <w:pStyle w:val="Heading3"/>
      </w:pPr>
      <w:r>
        <w:t xml:space="preserve">Specialty Journals (by Working Group)</w:t>
      </w:r>
    </w:p>
    <w:p>
      <w:pPr>
        <w:pStyle w:val="ListParagraph"/>
        <w:numPr>
          <w:ilvl w:val="0"/>
          <w:numId w:val="2"/>
        </w:numPr>
        <w:spacing w:after="60"/>
      </w:pPr>
      <w:r>
        <w:rPr>
          <w:sz w:val="22"/>
          <w:szCs w:val="22"/>
        </w:rPr>
        <w:t xml:space="preserve">Radiology, European Radiology, AJR (WG1: Imaging)</w:t>
      </w:r>
    </w:p>
    <w:p>
      <w:pPr>
        <w:pStyle w:val="ListParagraph"/>
        <w:numPr>
          <w:ilvl w:val="0"/>
          <w:numId w:val="2"/>
        </w:numPr>
        <w:spacing w:after="60"/>
      </w:pPr>
      <w:r>
        <w:rPr>
          <w:sz w:val="22"/>
          <w:szCs w:val="22"/>
        </w:rPr>
        <w:t xml:space="preserve">JAMA Cardiology, Circulation, JACC (WG1: Cardiac/ECG)</w:t>
      </w:r>
    </w:p>
    <w:p>
      <w:pPr>
        <w:pStyle w:val="ListParagraph"/>
        <w:numPr>
          <w:ilvl w:val="0"/>
          <w:numId w:val="2"/>
        </w:numPr>
        <w:spacing w:after="60"/>
      </w:pPr>
      <w:r>
        <w:rPr>
          <w:sz w:val="22"/>
          <w:szCs w:val="22"/>
        </w:rPr>
        <w:t xml:space="preserve">Critical Care Medicine, Intensive Care Medicine (WG1: Sepsis/Critical Care)</w:t>
      </w:r>
    </w:p>
    <w:p>
      <w:pPr>
        <w:pStyle w:val="ListParagraph"/>
        <w:numPr>
          <w:ilvl w:val="0"/>
          <w:numId w:val="2"/>
        </w:numPr>
        <w:spacing w:after="60"/>
      </w:pPr>
      <w:r>
        <w:rPr>
          <w:sz w:val="22"/>
          <w:szCs w:val="22"/>
        </w:rPr>
        <w:t xml:space="preserve">Academic Medicine, Medical Education, Medical Teacher (WG3: Education)</w:t>
      </w:r>
    </w:p>
    <w:p>
      <w:pPr>
        <w:pStyle w:val="ListParagraph"/>
        <w:numPr>
          <w:ilvl w:val="0"/>
          <w:numId w:val="2"/>
        </w:numPr>
        <w:spacing w:after="60"/>
      </w:pPr>
      <w:r>
        <w:rPr>
          <w:sz w:val="22"/>
          <w:szCs w:val="22"/>
        </w:rPr>
        <w:t xml:space="preserve">Human Factors, Applied Ergonomics (WG4: Human-AI Interaction)</w:t>
      </w:r>
    </w:p>
    <w:p>
      <w:pPr>
        <w:pStyle w:val="ListParagraph"/>
        <w:numPr>
          <w:ilvl w:val="0"/>
          <w:numId w:val="2"/>
        </w:numPr>
        <w:spacing w:after="60"/>
      </w:pPr>
      <w:r>
        <w:rPr>
          <w:sz w:val="22"/>
          <w:szCs w:val="22"/>
        </w:rPr>
        <w:t xml:space="preserve">American Journal of Bioethics, Journal of Law and Medicine (WG5: Ethics/Legal)</w:t>
      </w:r>
    </w:p>
    <w:p>
      <w:pPr>
        <w:pStyle w:val="Heading2"/>
      </w:pPr>
      <w:r>
        <w:t xml:space="preserve">3.3 Search Terms and Queries</w:t>
      </w:r>
    </w:p>
    <w:p>
      <w:pPr>
        <w:spacing w:after="200"/>
      </w:pPr>
      <w:r>
        <w:t xml:space="preserve">For each working group, 15–20 targeted searches were conducted using combinations of the following core terms and WG-specific terms. Boolean operators (AND, OR) were used to combine terms.</w:t>
      </w:r>
    </w:p>
    <w:p>
      <w:pPr>
        <w:pStyle w:val="Heading3"/>
      </w:pPr>
      <w:r>
        <w:t xml:space="preserve">Core Search Terms (All WGs)</w:t>
      </w:r>
    </w:p>
    <w:p>
      <w:pPr>
        <w:spacing w:after="100"/>
      </w:pPr>
      <w:r>
        <w:rPr>
          <w:i/>
          <w:iCs/>
          <w:sz w:val="22"/>
          <w:szCs w:val="22"/>
        </w:rPr>
        <w:t xml:space="preserve">(“artificial intelligence” OR “machine learning” OR “deep learning” OR “natural language processing” OR “large language model” OR “ChatGPT” OR “clinical decision support”) AND (“emergency medicine” OR “emergency department” OR “acute care” OR “triage” OR “critical care”)</w:t>
      </w:r>
    </w:p>
    <w:p>
      <w:pPr>
        <w:pStyle w:val="Heading3"/>
      </w:pPr>
      <w:r>
        <w:t xml:space="preserve">WG1: Clinical Practice &amp; Operations</w:t>
      </w:r>
    </w:p>
    <w:p>
      <w:pPr>
        <w:spacing w:after="100"/>
      </w:pPr>
      <w:r>
        <w:rPr>
          <w:sz w:val="22"/>
          <w:szCs w:val="22"/>
        </w:rPr>
        <w:t xml:space="preserve">Additional terms: sepsis prediction, triage AI, chest radiograph AI, ECG interpretation, fracture detection, pulmonary embolism, stroke imaging, ED patient flow, clinical deterioration, POCUS AI, medication safety, FDA-approved AI devices</w:t>
      </w:r>
    </w:p>
    <w:p>
      <w:pPr>
        <w:pStyle w:val="Heading3"/>
      </w:pPr>
      <w:r>
        <w:t xml:space="preserve">WG2: Data Infrastructure, Governance &amp; Privacy</w:t>
      </w:r>
    </w:p>
    <w:p>
      <w:pPr>
        <w:spacing w:after="100"/>
      </w:pPr>
      <w:r>
        <w:rPr>
          <w:sz w:val="22"/>
          <w:szCs w:val="22"/>
        </w:rPr>
        <w:t xml:space="preserve">Additional terms: federated learning healthcare, health data governance, FHIR interoperability, EHR data quality, de-identification, HIPAA AI, synthetic data healthcare, clinical NLP pipeline, phenotyping EHR, data sharing multi-institutional, cybersecurity health data, patient consent AI, real-world evidence, data labeling clinical, cloud computing healthcare</w:t>
      </w:r>
    </w:p>
    <w:p>
      <w:pPr>
        <w:pStyle w:val="Heading3"/>
      </w:pPr>
      <w:r>
        <w:t xml:space="preserve">WG3: Education, Training &amp; Competency</w:t>
      </w:r>
    </w:p>
    <w:p>
      <w:pPr>
        <w:spacing w:after="100"/>
      </w:pPr>
      <w:r>
        <w:rPr>
          <w:sz w:val="22"/>
          <w:szCs w:val="22"/>
        </w:rPr>
        <w:t xml:space="preserve">Additional terms: AI literacy physicians, medical school AI curriculum, residency AI training, simulation AI healthcare, continuing medical education AI, AI competency framework, faculty development AI, assessment AI skills, LLM medical education, ChatGPT medical students, virtual patient AI, physician attitudes AI, digital health literacy</w:t>
      </w:r>
    </w:p>
    <w:p>
      <w:pPr>
        <w:pStyle w:val="Heading3"/>
      </w:pPr>
      <w:r>
        <w:t xml:space="preserve">WG4: Human-AI Interaction &amp; Self</w:t>
      </w:r>
    </w:p>
    <w:p>
      <w:pPr>
        <w:spacing w:after="100"/>
      </w:pPr>
      <w:r>
        <w:rPr>
          <w:sz w:val="22"/>
          <w:szCs w:val="22"/>
        </w:rPr>
        <w:t xml:space="preserve">Additional terms: human-AI teaming clinical, clinician trust AI, explainable AI healthcare, alert fatigue clinical decision support, workflow integration AI emergency, cognitive load AI, automation bias clinical, user interface clinical AI, shared decision making AI, clinician burnout AI, human oversight AI healthcare, adaptive AI clinical, patient perception AI</w:t>
      </w:r>
    </w:p>
    <w:p>
      <w:pPr>
        <w:pStyle w:val="Heading3"/>
      </w:pPr>
      <w:r>
        <w:t xml:space="preserve">WG5: Ethics, Legal &amp; Societal</w:t>
      </w:r>
    </w:p>
    <w:p>
      <w:pPr>
        <w:spacing w:after="100"/>
      </w:pPr>
      <w:r>
        <w:rPr>
          <w:sz w:val="22"/>
          <w:szCs w:val="22"/>
        </w:rPr>
        <w:t xml:space="preserve">Additional terms: algorithmic bias healthcare disparities, AI fairness accountability transparency, medical malpractice AI, FDA regulation AI devices, EU AI Act healthcare, informed consent AI, racial bias clinical algorithm, AI governance health system, patient autonomy AI, health equity AI, AI workforce impact healthcare, resource allocation AI triage ethics, global health AI access</w:t>
      </w:r>
    </w:p>
    <w:p>
      <w:pPr>
        <w:pStyle w:val="Heading1"/>
      </w:pPr>
      <w:r>
        <w:t xml:space="preserve">4. Screening and Selection Process</w:t>
      </w:r>
    </w:p>
    <w:p>
      <w:pPr>
        <w:spacing w:after="200"/>
      </w:pPr>
      <w:r>
        <w:t xml:space="preserve">Articles identified through the search strategy were screened using the following multi-step process:</w:t>
      </w:r>
    </w:p>
    <w:p>
      <w:pPr>
        <w:pStyle w:val="ListParagraph"/>
        <w:numPr>
          <w:ilvl w:val="0"/>
          <w:numId w:val="3"/>
        </w:numPr>
        <w:spacing w:after="120"/>
      </w:pPr>
      <w:r>
        <w:rPr>
          <w:sz w:val="22"/>
          <w:szCs w:val="22"/>
        </w:rPr>
        <w:t xml:space="preserve">Step 1 — Title/abstract screening: Articles were screened for relevance to the specific WG topic area and emergency medicine applicability. Articles clearly outside scope were excluded.</w:t>
      </w:r>
    </w:p>
    <w:p>
      <w:pPr>
        <w:pStyle w:val="ListParagraph"/>
        <w:numPr>
          <w:ilvl w:val="0"/>
          <w:numId w:val="3"/>
        </w:numPr>
        <w:spacing w:after="120"/>
      </w:pPr>
      <w:r>
        <w:rPr>
          <w:sz w:val="22"/>
          <w:szCs w:val="22"/>
        </w:rPr>
        <w:t xml:space="preserve">Step 2 — Date filter: All articles published before January 2021 were excluded per the 5-year window criterion.</w:t>
      </w:r>
    </w:p>
    <w:p>
      <w:pPr>
        <w:pStyle w:val="ListParagraph"/>
        <w:numPr>
          <w:ilvl w:val="0"/>
          <w:numId w:val="3"/>
        </w:numPr>
        <w:spacing w:after="120"/>
      </w:pPr>
      <w:r>
        <w:rPr>
          <w:sz w:val="22"/>
          <w:szCs w:val="22"/>
        </w:rPr>
        <w:t xml:space="preserve">Step 3 — Journal quality filter: Priority was given to articles from the priority journals listed in Section 3.2. Lower-impact journals were included only when they provided unique coverage of a subtopic not represented in higher-tier journals.</w:t>
      </w:r>
    </w:p>
    <w:p>
      <w:pPr>
        <w:pStyle w:val="ListParagraph"/>
        <w:numPr>
          <w:ilvl w:val="0"/>
          <w:numId w:val="3"/>
        </w:numPr>
        <w:spacing w:after="120"/>
      </w:pPr>
      <w:r>
        <w:rPr>
          <w:sz w:val="22"/>
          <w:szCs w:val="22"/>
        </w:rPr>
        <w:t xml:space="preserve">Step 4 — Emergency medicine relevance: Articles were assessed for direct applicability to emergency medicine settings. Studies conducted in EDs, involving emergency physicians, or with clear implications for acute care practice were prioritized.</w:t>
      </w:r>
    </w:p>
    <w:p>
      <w:pPr>
        <w:pStyle w:val="ListParagraph"/>
        <w:numPr>
          <w:ilvl w:val="0"/>
          <w:numId w:val="3"/>
        </w:numPr>
        <w:spacing w:after="120"/>
      </w:pPr>
      <w:r>
        <w:rPr>
          <w:sz w:val="22"/>
          <w:szCs w:val="22"/>
        </w:rPr>
        <w:t xml:space="preserve">Step 5 — Subtopic balancing: Final selections were balanced across all 19 subtopics per WG to ensure comprehensive coverage, with a target of 3–6 articles per subtopic.</w:t>
      </w:r>
    </w:p>
    <w:p>
      <w:pPr>
        <w:pStyle w:val="ListParagraph"/>
        <w:numPr>
          <w:ilvl w:val="0"/>
          <w:numId w:val="3"/>
        </w:numPr>
        <w:spacing w:after="120"/>
      </w:pPr>
      <w:r>
        <w:rPr>
          <w:sz w:val="22"/>
          <w:szCs w:val="22"/>
        </w:rPr>
        <w:t xml:space="preserve">Step 6 — Deduplication: Articles appearing across multiple WGs were retained in the most relevant WG and cross-referenced in others only when substantively relevant to both domains.</w:t>
      </w:r>
    </w:p>
    <w:p>
      <w:pPr>
        <w:pStyle w:val="Heading1"/>
      </w:pPr>
      <w:r>
        <w:t xml:space="preserve">5. PDF Retrieval Strategy</w:t>
      </w:r>
    </w:p>
    <w:p>
      <w:pPr>
        <w:spacing w:after="200"/>
      </w:pPr>
      <w:r>
        <w:t xml:space="preserve">Open-access PDFs were retrieved programmatically using a multi-source strategy, in the following priority order:</w:t>
      </w:r>
    </w:p>
    <w:p>
      <w:pPr>
        <w:pStyle w:val="ListParagraph"/>
        <w:numPr>
          <w:ilvl w:val="0"/>
          <w:numId w:val="3"/>
        </w:numPr>
        <w:spacing w:after="100"/>
      </w:pPr>
      <w:r>
        <w:rPr>
          <w:sz w:val="22"/>
          <w:szCs w:val="22"/>
        </w:rPr>
        <w:t xml:space="preserve">Unpaywall API — Queries the Unpaywall database of open-access articles using DOIs to identify freely available PDF versions (green or gold open access).</w:t>
      </w:r>
    </w:p>
    <w:p>
      <w:pPr>
        <w:pStyle w:val="ListParagraph"/>
        <w:numPr>
          <w:ilvl w:val="0"/>
          <w:numId w:val="3"/>
        </w:numPr>
        <w:spacing w:after="100"/>
      </w:pPr>
      <w:r>
        <w:rPr>
          <w:sz w:val="22"/>
          <w:szCs w:val="22"/>
        </w:rPr>
        <w:t xml:space="preserve">Semantic Scholar API — Queries the openAccessPdf field for each article DOI to find alternative open-access sources.</w:t>
      </w:r>
    </w:p>
    <w:p>
      <w:pPr>
        <w:pStyle w:val="ListParagraph"/>
        <w:numPr>
          <w:ilvl w:val="0"/>
          <w:numId w:val="3"/>
        </w:numPr>
        <w:spacing w:after="100"/>
      </w:pPr>
      <w:r>
        <w:rPr>
          <w:sz w:val="22"/>
          <w:szCs w:val="22"/>
        </w:rPr>
        <w:t xml:space="preserve">PubMed Central (PMC) — For articles with PMIDs, converts to PMCIDs and attempts direct PDF download from PMC repositories.</w:t>
      </w:r>
    </w:p>
    <w:p>
      <w:pPr>
        <w:pStyle w:val="ListParagraph"/>
        <w:numPr>
          <w:ilvl w:val="0"/>
          <w:numId w:val="3"/>
        </w:numPr>
        <w:spacing w:after="100"/>
      </w:pPr>
      <w:r>
        <w:rPr>
          <w:sz w:val="22"/>
          <w:szCs w:val="22"/>
        </w:rPr>
        <w:t xml:space="preserve">Direct DOI resolution — Follows DOI redirects with an Accept: application/pdf header to retrieve PDFs directly from publisher servers.</w:t>
      </w:r>
    </w:p>
    <w:p>
      <w:pPr>
        <w:pStyle w:val="ListParagraph"/>
        <w:numPr>
          <w:ilvl w:val="0"/>
          <w:numId w:val="3"/>
        </w:numPr>
        <w:spacing w:after="100"/>
      </w:pPr>
      <w:r>
        <w:rPr>
          <w:sz w:val="22"/>
          <w:szCs w:val="22"/>
        </w:rPr>
        <w:t xml:space="preserve">Publisher-specific URL patterns — For known open-access publishers (Nature, Springer, Wiley, BMC, JMIR, SAGE), constructs direct PDF URLs using publisher-specific patterns.</w:t>
      </w:r>
    </w:p>
    <w:p>
      <w:pPr>
        <w:spacing w:after="200"/>
      </w:pPr>
      <w:r>
        <w:t xml:space="preserve">Articles behind paywalls are tracked in each WG’s Article Tracker spreadsheet with clickable DOI links, enabling working group members to download them through their institutional library access.</w:t>
      </w:r>
    </w:p>
    <w:p>
      <w:pPr>
        <w:pStyle w:val="Heading1"/>
      </w:pPr>
      <w:r>
        <w:t xml:space="preserve">6. Deliverables per Working Group</w:t>
      </w:r>
    </w:p>
    <w:p>
      <w:pPr>
        <w:spacing w:after="200"/>
      </w:pPr>
      <w:r>
        <w:t xml:space="preserve">Each working group receives the following deliverables:</w:t>
      </w:r>
    </w:p>
    <w:p>
      <w:pPr>
        <w:pStyle w:val="ListParagraph"/>
        <w:numPr>
          <w:ilvl w:val="0"/>
          <w:numId w:val="2"/>
        </w:numPr>
        <w:spacing w:after="120"/>
      </w:pPr>
      <w:r>
        <w:rPr>
          <w:sz w:val="22"/>
          <w:szCs w:val="22"/>
        </w:rPr>
        <w:t xml:space="preserve">Literature Review Document (.docx) — A comprehensive Word document in two parts: Part I is a narrative literature review organized by subtopic with executive summary and key recommendations; Part II is a full annotated bibliography with complete citations (authors, title, journal, year, volume, pages, DOI, PMID) and 2–3 sentence summaries for each article.</w:t>
      </w:r>
    </w:p>
    <w:p>
      <w:pPr>
        <w:pStyle w:val="ListParagraph"/>
        <w:numPr>
          <w:ilvl w:val="0"/>
          <w:numId w:val="2"/>
        </w:numPr>
        <w:spacing w:after="120"/>
      </w:pPr>
      <w:r>
        <w:rPr>
          <w:sz w:val="22"/>
          <w:szCs w:val="22"/>
        </w:rPr>
        <w:t xml:space="preserve">Article Tracker Spreadsheet (.xlsx) — A color-coded Excel spreadsheet listing all articles with PDF availability status (green = downloaded, red = not available), first author, year, title, journal, subtopic, clickable DOI link, and PMID.</w:t>
      </w:r>
    </w:p>
    <w:p>
      <w:pPr>
        <w:pStyle w:val="ListParagraph"/>
        <w:numPr>
          <w:ilvl w:val="0"/>
          <w:numId w:val="2"/>
        </w:numPr>
        <w:spacing w:after="120"/>
      </w:pPr>
      <w:r>
        <w:rPr>
          <w:sz w:val="22"/>
          <w:szCs w:val="22"/>
        </w:rPr>
        <w:t xml:space="preserve">PDF Repository — A folder containing all retrieved open-access PDFs, organized by working group.</w:t>
      </w:r>
    </w:p>
    <w:p>
      <w:pPr>
        <w:pStyle w:val="Heading1"/>
      </w:pPr>
      <w:r>
        <w:t xml:space="preserve">7. Subtopic Coverage by Working Group</w:t>
      </w:r>
    </w:p>
    <w:p>
      <w:pPr>
        <w:spacing w:after="200"/>
      </w:pPr>
      <w:r>
        <w:t xml:space="preserve">Each working group’s literature review is organized around 19 subtopics chosen to comprehensively cover the domain. The subtopics for each WG are listed below:</w:t>
      </w:r>
    </w:p>
    <w:p>
      <w:pPr>
        <w:pStyle w:val="Heading2"/>
      </w:pPr>
      <w:r>
        <w:t xml:space="preserve">WG1: Clinical Practice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Subtopic</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Systematic Reviews &amp; Overviews</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Triage &amp; Acuity Prediction</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Sepsis Detection &amp; Early Warning</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Medical Imaging — Radiology</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ECG &amp; Cardiac Applications</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Stroke Detection &amp; Imaging</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7</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Fracture Detection</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PE Detection</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9</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ED Operations &amp; Patient Flow</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Clinical Decision Support</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11</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LLMs in Emergency Medicine</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12</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NLP &amp; Clinical Documentation</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13</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Trauma</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14</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Psychiatric Emergencies</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15</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Pediatric Emergency Medicine</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16</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AI-Enhanced POCUS</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17</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Medication Safety</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18</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FDA &amp; Regulatory Landscape</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19</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Implementation &amp; Equity</w:t>
            </w:r>
          </w:p>
        </w:tc>
      </w:tr>
    </w:tbl>
    <w:p>
      <w:pPr>
        <w:spacing w:after="200"/>
      </w:pPr>
    </w:p>
    <w:p>
      <w:pPr>
        <w:pStyle w:val="Heading2"/>
      </w:pPr>
      <w:r>
        <w:t xml:space="preserve">WG2: Data Infrastructure, Governance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Subtopic</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Health Data Infrastructure &amp; EHR Systems</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Data Quality &amp; Standardization</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FHIR &amp; Interoperability Standards</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Data Governance Frameworks</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Privacy-Preserving AI &amp; Federated Learning</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De-identification &amp; Anonymization</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7</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HIPAA, GDPR &amp; Regulatory Compliance</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Algorithmic Bias from Training Data</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9</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Data Sharing &amp; Multi-institutional Collaboration</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Real-World Data &amp; Real-World Evidence</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11</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Clinical NLP Pipelines &amp; Text Mining</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12</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EHR Phenotyping for AI</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13</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Cloud Computing &amp; Infrastructure</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14</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Cybersecurity &amp; Health Data Protection</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15</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Patient Consent &amp; Data Ownership</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16</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Synthetic Data Generation</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17</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Data Labeling &amp; Annotation</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18</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Genomic/Multi-omics Integration</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19</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Social Determinants of Health Data</w:t>
            </w:r>
          </w:p>
        </w:tc>
      </w:tr>
    </w:tbl>
    <w:p>
      <w:pPr>
        <w:spacing w:after="200"/>
      </w:pPr>
    </w:p>
    <w:p>
      <w:pPr>
        <w:pStyle w:val="Heading2"/>
      </w:pPr>
      <w:r>
        <w:t xml:space="preserve">WG3: Education, Training &amp; Competency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Subtopic</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AI Literacy &amp; Competency Frameworks</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AI in Medical School Curricula</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AI in Graduate Medical Education</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AI Training in Emergency Medicine</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Simulation-Based AI Training</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CME for AI</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7</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Interprofessional AI Education</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Faculty Development for Teaching AI</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9</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Assessment of AI Competency</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AI-Assisted Medical Education &amp; LLM Tutoring</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11</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AI for Clinical Simulation &amp; Virtual Patients</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12</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Student &amp; Trainee Attitudes Toward AI</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13</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Physician Attitudes &amp; Trust in AI</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14</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Barriers to AI Adoption &amp; Training</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15</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AI Competency Milestones</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16</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National/International AI Education Guidelines</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17</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Digital Health Literacy</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18</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AI-Augmented Clinical Reasoning</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19</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ChatGPT &amp; LLMs in Medical Education</w:t>
            </w:r>
          </w:p>
        </w:tc>
      </w:tr>
    </w:tbl>
    <w:p>
      <w:pPr>
        <w:spacing w:after="200"/>
      </w:pPr>
    </w:p>
    <w:p>
      <w:pPr>
        <w:pStyle w:val="Heading2"/>
      </w:pPr>
      <w:r>
        <w:t xml:space="preserve">WG4: Human-AI Interaction &amp;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Subtopic</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Human-AI Teaming &amp; Collaboration</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Clinician Trust in AI Systems</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AI Explainability &amp; Interpretability (XAI)</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Clinical Decision Support &amp; Alert Fatigue</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Workflow Integration in EDs</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Human Factors Engineering for Health AI</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7</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Cognitive Load &amp; AI Decision Making</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Automation Bias in Clinical AI</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9</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User Interface Design for Clinical AI</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Shared Decision-Making with AI</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11</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AI &amp; Clinical/Diagnostic Reasoning</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12</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Physician Autonomy &amp; AI Recommendations</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13</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AI Usability in Emergency Medicine</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14</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Alarm/Alert Design for Clinical AI</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15</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AI &amp; Clinician Burnout/Wellbeing</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16</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Human Oversight of AI</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17</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Adaptive AI &amp; User Feedback</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18</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Patient Perceptions of AI</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19</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Sociotechnical Systems Approach</w:t>
            </w:r>
          </w:p>
        </w:tc>
      </w:tr>
    </w:tbl>
    <w:p>
      <w:pPr>
        <w:spacing w:after="200"/>
      </w:pPr>
    </w:p>
    <w:p>
      <w:pPr>
        <w:pStyle w:val="Heading2"/>
      </w:pPr>
      <w:r>
        <w:t xml:space="preserve">WG5: Ethics, Legal &amp; Societal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Subtopic</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Ethical Frameworks for AI in Healthcare</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Algorithmic Bias &amp; Health Equity</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3</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AI Fairness, Accountability &amp; Transparency</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Legal Liability for AI Decisions</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5</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Malpractice &amp; AI in EM</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FDA Regulation of AI/ML Devices</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7</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EU AI Act &amp; International Regulation</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Informed Consent for AI Care</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9</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AI &amp; Social Determinants of Health</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Racial/Ethnic Bias in Clinical Algorithms</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11</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AI Governance &amp; Oversight</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12</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Professional Responsibility &amp; AI</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13</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Patient Autonomy &amp; AI Decision-Making</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14</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AI &amp; the Physician-Patient Relationship</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15</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Economic &amp; Workforce Impacts</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16</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AI &amp; Health Insurance/Coverage</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17</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Transparency &amp; Disclosure</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18</w:t>
            </w:r>
          </w:p>
        </w:tc>
        <w:tc>
          <w:tcPr>
            <w:tcW w:type="dxa" w:w="8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AI in Resource Allocation &amp; Triage Ethics</w:t>
            </w:r>
          </w:p>
        </w:tc>
      </w:tr>
      <w:tr>
        <w:tc>
          <w:tcPr>
            <w:tcW w:type="dxa" w:w="60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19</w:t>
            </w:r>
          </w:p>
        </w:tc>
        <w:tc>
          <w:tcPr>
            <w:tcW w:type="dxa" w:w="8760"/>
            <w:tcBorders>
              <w:top w:val="single" w:color="CCCCCC" w:sz="1"/>
              <w:left w:val="single" w:color="CCCCCC" w:sz="1"/>
              <w:bottom w:val="single" w:color="CCCCCC" w:sz="1"/>
              <w:right w:val="single" w:color="CCCCCC" w:sz="1"/>
            </w:tcBorders>
            <w:shd w:fill="F2F2F2" w:val="clear"/>
            <w:tcMar>
              <w:top w:type="dxa" w:w="40"/>
              <w:left w:type="dxa" w:w="100"/>
              <w:bottom w:type="dxa" w:w="40"/>
              <w:right w:type="dxa" w:w="100"/>
            </w:tcMar>
          </w:tcPr>
          <w:p>
            <w:r>
              <w:rPr>
                <w:rFonts w:ascii="Arial" w:cs="Arial" w:eastAsia="Arial" w:hAnsi="Arial"/>
                <w:sz w:val="20"/>
                <w:szCs w:val="20"/>
              </w:rPr>
              <w:t xml:space="preserve">Global Health Equity &amp; AI Access</w:t>
            </w:r>
          </w:p>
        </w:tc>
      </w:tr>
    </w:tbl>
    <w:p>
      <w:pPr>
        <w:spacing w:after="200"/>
      </w:pPr>
    </w:p>
    <w:p>
      <w:pPr>
        <w:pStyle w:val="Heading1"/>
      </w:pPr>
      <w:r>
        <w:t xml:space="preserve">8. Limitations</w:t>
      </w:r>
    </w:p>
    <w:p>
      <w:pPr>
        <w:pStyle w:val="ListParagraph"/>
        <w:numPr>
          <w:ilvl w:val="0"/>
          <w:numId w:val="2"/>
        </w:numPr>
        <w:spacing w:after="100"/>
      </w:pPr>
      <w:r>
        <w:rPr>
          <w:sz w:val="22"/>
          <w:szCs w:val="22"/>
        </w:rPr>
        <w:t xml:space="preserve">This search was conducted using publicly accessible databases and APIs. Proprietary databases (e.g., Embase, CINAHL) were not systematically searched.</w:t>
      </w:r>
    </w:p>
    <w:p>
      <w:pPr>
        <w:pStyle w:val="ListParagraph"/>
        <w:numPr>
          <w:ilvl w:val="0"/>
          <w:numId w:val="2"/>
        </w:numPr>
        <w:spacing w:after="100"/>
      </w:pPr>
      <w:r>
        <w:rPr>
          <w:sz w:val="22"/>
          <w:szCs w:val="22"/>
        </w:rPr>
        <w:t xml:space="preserve">PDF retrieval was limited to open-access sources. Approximately 40–60% of articles per WG remain behind paywalls and require institutional access.</w:t>
      </w:r>
    </w:p>
    <w:p>
      <w:pPr>
        <w:pStyle w:val="ListParagraph"/>
        <w:numPr>
          <w:ilvl w:val="0"/>
          <w:numId w:val="2"/>
        </w:numPr>
        <w:spacing w:after="100"/>
      </w:pPr>
      <w:r>
        <w:rPr>
          <w:sz w:val="22"/>
          <w:szCs w:val="22"/>
        </w:rPr>
        <w:t xml:space="preserve">The rapidly evolving nature of AI in medicine means that new articles are published frequently; these reviews represent a snapshot as of April 2026.</w:t>
      </w:r>
    </w:p>
    <w:p>
      <w:pPr>
        <w:pStyle w:val="ListParagraph"/>
        <w:numPr>
          <w:ilvl w:val="0"/>
          <w:numId w:val="2"/>
        </w:numPr>
        <w:spacing w:after="100"/>
      </w:pPr>
      <w:r>
        <w:rPr>
          <w:sz w:val="22"/>
          <w:szCs w:val="22"/>
        </w:rPr>
        <w:t xml:space="preserve">While emergency medicine relevance was prioritized, some foundational AI/ML articles from adjacent fields (radiology, cardiology, critical care) were included when they have direct implications for ED practice.</w:t>
      </w:r>
    </w:p>
    <w:p>
      <w:pPr>
        <w:pStyle w:val="ListParagraph"/>
        <w:numPr>
          <w:ilvl w:val="0"/>
          <w:numId w:val="2"/>
        </w:numPr>
        <w:spacing w:after="100"/>
      </w:pPr>
      <w:r>
        <w:rPr>
          <w:sz w:val="22"/>
          <w:szCs w:val="22"/>
        </w:rPr>
        <w:t xml:space="preserve">Citation metadata was extracted from multiple sources and cross-referenced where possible, but minor discrepancies in volume/page numbers may exist for recently published articles.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SAEM 2026 AI Consensus Conference — Search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2026-04-03T12:02:39.590Z</dcterms:created>
  <dcterms:modified xsi:type="dcterms:W3CDTF">2026-04-03T12:02:39.590Z</dcterms:modified>
</cp:coreProperties>
</file>

<file path=docProps/custom.xml><?xml version="1.0" encoding="utf-8"?>
<Properties xmlns="http://schemas.openxmlformats.org/officeDocument/2006/custom-properties" xmlns:vt="http://schemas.openxmlformats.org/officeDocument/2006/docPropsVTypes"/>
</file>