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36"/>
          <w:szCs w:val="36"/>
        </w:rPr>
        <w:t xml:space="preserve">2026 SAEM Consensus Conference</w:t>
      </w:r>
    </w:p>
    <w:p>
      <w:pPr>
        <w:spacing w:after="40"/>
        <w:jc w:val="center"/>
      </w:pPr>
      <w:r>
        <w:rPr>
          <w:rFonts w:ascii="Arial" w:cs="Arial" w:eastAsia="Arial" w:hAnsi="Arial"/>
          <w:b/>
          <w:bCs/>
          <w:color w:val="1B3A5C"/>
          <w:sz w:val="30"/>
          <w:szCs w:val="30"/>
        </w:rPr>
        <w:t xml:space="preserve">Artificial Intelligence and Emergency Medicine:</w:t>
      </w:r>
    </w:p>
    <w:p>
      <w:pPr>
        <w:spacing w:after="160"/>
        <w:jc w:val="center"/>
      </w:pPr>
      <w:r>
        <w:rPr>
          <w:rFonts w:ascii="Arial" w:cs="Arial" w:eastAsia="Arial" w:hAnsi="Arial"/>
          <w:b/>
          <w:bCs/>
          <w:color w:val="1B3A5C"/>
          <w:sz w:val="30"/>
          <w:szCs w:val="30"/>
        </w:rPr>
        <w:t xml:space="preserve">Technology, Training, Self, and Society</w:t>
      </w:r>
    </w:p>
    <w:p>
      <w:pPr>
        <w:spacing w:after="80"/>
        <w:jc w:val="center"/>
      </w:pPr>
      <w:r>
        <w:rPr>
          <w:rFonts w:ascii="Arial" w:cs="Arial" w:eastAsia="Arial" w:hAnsi="Arial"/>
          <w:b/>
          <w:bCs/>
          <w:color w:val="2E75B6"/>
          <w:sz w:val="28"/>
          <w:szCs w:val="28"/>
        </w:rPr>
        <w:t xml:space="preserve">Working Group Descriptions</w:t>
      </w:r>
    </w:p>
    <w:p>
      <w:pPr>
        <w:spacing w:after="40"/>
        <w:jc w:val="center"/>
      </w:pPr>
      <w:r>
        <w:rPr>
          <w:rFonts w:ascii="Arial" w:cs="Arial" w:eastAsia="Arial" w:hAnsi="Arial"/>
          <w:sz w:val="22"/>
          <w:szCs w:val="22"/>
        </w:rPr>
        <w:t xml:space="preserve">Thursday, May 21, 2026</w:t>
      </w:r>
    </w:p>
    <w:p>
      <w:pPr>
        <w:spacing w:after="40"/>
        <w:jc w:val="center"/>
      </w:pPr>
      <w:r>
        <w:rPr>
          <w:rFonts w:ascii="Arial" w:cs="Arial" w:eastAsia="Arial" w:hAnsi="Arial"/>
          <w:sz w:val="22"/>
          <w:szCs w:val="22"/>
        </w:rPr>
        <w:t xml:space="preserve">Atlanta Marriott Marquis  |  Atlanta, Georgia</w:t>
      </w:r>
    </w:p>
    <w:p>
      <w:pPr>
        <w:spacing w:after="360"/>
        <w:jc w:val="center"/>
      </w:pPr>
      <w:r>
        <w:rPr>
          <w:rFonts w:ascii="Arial" w:cs="Arial" w:eastAsia="Arial" w:hAnsi="Arial"/>
          <w:sz w:val="22"/>
          <w:szCs w:val="22"/>
        </w:rPr>
        <w:t xml:space="preserve">SAEM Annual Meeting</w:t>
      </w:r>
    </w:p>
    <w:p>
      <w:pPr>
        <w:pBdr>
          <w:bottom w:val="single" w:color="2E75B6" w:sz="6" w:space="8"/>
        </w:pBdr>
        <w:spacing w:after="200"/>
      </w:pPr>
    </w:p>
    <w:p>
      <w:pPr>
        <w:pStyle w:val="Heading1"/>
      </w:pPr>
      <w:r>
        <w:rPr>
          <w:rFonts w:ascii="Arial" w:cs="Arial" w:eastAsia="Arial" w:hAnsi="Arial"/>
          <w:b/>
          <w:bCs/>
          <w:color w:val="1B3A5C"/>
          <w:sz w:val="28"/>
          <w:szCs w:val="28"/>
        </w:rPr>
        <w:t xml:space="preserve">Overview</w:t>
      </w:r>
    </w:p>
    <w:p>
      <w:pPr>
        <w:spacing w:after="120"/>
      </w:pPr>
      <w:r>
        <w:rPr>
          <w:rFonts w:ascii="Arial" w:cs="Arial" w:eastAsia="Arial" w:hAnsi="Arial"/>
          <w:sz w:val="22"/>
          <w:szCs w:val="22"/>
        </w:rPr>
        <w:t xml:space="preserve">The 2026 SAEM Consensus Conference will bring together experts and stakeholders across multiple disciplines to define the landscape, identify critical research needs, and establish a 10-year research agenda for artificial intelligence in emergency medicine. Through a structured, modified Delphi consensus-building process, five interdisciplinary working groups will identify key research questions, knowledge gaps, and priorities for the field.</w:t>
      </w:r>
    </w:p>
    <w:p>
      <w:pPr>
        <w:spacing w:after="120"/>
      </w:pPr>
      <w:r>
        <w:rPr>
          <w:rFonts w:ascii="Arial" w:cs="Arial" w:eastAsia="Arial" w:hAnsi="Arial"/>
          <w:sz w:val="22"/>
          <w:szCs w:val="22"/>
        </w:rPr>
        <w:t xml:space="preserve">Each working group will conduct a pre-conference literature review, develop and refine research questions through iterative Delphi rounds, and bring their consensus findings to the conference for broader discussion, cross-pollination, and final prioritization by the full conference audience.</w:t>
      </w:r>
    </w:p>
    <w:p>
      <w:pPr>
        <w:spacing w:after="120"/>
      </w:pPr>
      <w:r>
        <w:rPr>
          <w:rFonts w:ascii="Arial" w:cs="Arial" w:eastAsia="Arial" w:hAnsi="Arial"/>
          <w:sz w:val="22"/>
          <w:szCs w:val="22"/>
        </w:rPr>
        <w:t xml:space="preserve">The conference subtitle, </w:t>
      </w:r>
      <w:r>
        <w:rPr>
          <w:rFonts w:ascii="Arial" w:cs="Arial" w:eastAsia="Arial" w:hAnsi="Arial"/>
          <w:b/>
          <w:bCs/>
          <w:i/>
          <w:iCs/>
          <w:sz w:val="22"/>
          <w:szCs w:val="22"/>
        </w:rPr>
        <w:t xml:space="preserve">Technology, Training, Self, and Society</w:t>
      </w:r>
      <w:r>
        <w:rPr>
          <w:rFonts w:ascii="Arial" w:cs="Arial" w:eastAsia="Arial" w:hAnsi="Arial"/>
          <w:sz w:val="22"/>
          <w:szCs w:val="22"/>
        </w:rPr>
        <w:t xml:space="preserve">, reflects the organizing framework for the working groups: Groups 1 and 2 address </w:t>
      </w:r>
      <w:r>
        <w:rPr>
          <w:rFonts w:ascii="Arial" w:cs="Arial" w:eastAsia="Arial" w:hAnsi="Arial"/>
          <w:b/>
          <w:bCs/>
          <w:sz w:val="22"/>
          <w:szCs w:val="22"/>
        </w:rPr>
        <w:t xml:space="preserve">Technology</w:t>
      </w:r>
      <w:r>
        <w:rPr>
          <w:rFonts w:ascii="Arial" w:cs="Arial" w:eastAsia="Arial" w:hAnsi="Arial"/>
          <w:sz w:val="22"/>
          <w:szCs w:val="22"/>
        </w:rPr>
        <w:t xml:space="preserve"> (clinical applications and infrastructure), Group 3 addresses </w:t>
      </w:r>
      <w:r>
        <w:rPr>
          <w:rFonts w:ascii="Arial" w:cs="Arial" w:eastAsia="Arial" w:hAnsi="Arial"/>
          <w:b/>
          <w:bCs/>
          <w:sz w:val="22"/>
          <w:szCs w:val="22"/>
        </w:rPr>
        <w:t xml:space="preserve">Training</w:t>
      </w:r>
      <w:r>
        <w:rPr>
          <w:rFonts w:ascii="Arial" w:cs="Arial" w:eastAsia="Arial" w:hAnsi="Arial"/>
          <w:sz w:val="22"/>
          <w:szCs w:val="22"/>
        </w:rPr>
        <w:t xml:space="preserve"> (education and competency), Group 4 addresses </w:t>
      </w:r>
      <w:r>
        <w:rPr>
          <w:rFonts w:ascii="Arial" w:cs="Arial" w:eastAsia="Arial" w:hAnsi="Arial"/>
          <w:b/>
          <w:bCs/>
          <w:sz w:val="22"/>
          <w:szCs w:val="22"/>
        </w:rPr>
        <w:t xml:space="preserve">Self</w:t>
      </w:r>
      <w:r>
        <w:rPr>
          <w:rFonts w:ascii="Arial" w:cs="Arial" w:eastAsia="Arial" w:hAnsi="Arial"/>
          <w:sz w:val="22"/>
          <w:szCs w:val="22"/>
        </w:rPr>
        <w:t xml:space="preserve"> (human-AI interaction), and Group 5 addresses </w:t>
      </w:r>
      <w:r>
        <w:rPr>
          <w:rFonts w:ascii="Arial" w:cs="Arial" w:eastAsia="Arial" w:hAnsi="Arial"/>
          <w:b/>
          <w:bCs/>
          <w:sz w:val="22"/>
          <w:szCs w:val="22"/>
        </w:rPr>
        <w:t xml:space="preserve">Society</w:t>
      </w:r>
      <w:r>
        <w:rPr>
          <w:rFonts w:ascii="Arial" w:cs="Arial" w:eastAsia="Arial" w:hAnsi="Arial"/>
          <w:sz w:val="22"/>
          <w:szCs w:val="22"/>
        </w:rPr>
        <w:t xml:space="preserve"> (ethics, law, and equity).</w:t>
      </w:r>
    </w:p>
    <w:p>
      <w:pPr>
        <w:spacing w:after="360"/>
      </w:pPr>
      <w:r>
        <w:rPr>
          <w:rFonts w:ascii="Arial" w:cs="Arial" w:eastAsia="Arial" w:hAnsi="Arial"/>
          <w:sz w:val="22"/>
          <w:szCs w:val="22"/>
        </w:rPr>
        <w:t xml:space="preserve">All working groups are expected to consider health equity, disparities, and the impact on vulnerable populations as cross-cutting themes in their research agendas.</w:t>
      </w:r>
    </w:p>
    <w:p>
      <w:pPr>
        <w:pBdr>
          <w:bottom w:val="single" w:color="2E75B6" w:sz="6" w:space="8"/>
        </w:pBdr>
        <w:spacing w:after="200"/>
      </w:pPr>
    </w:p>
    <w:p>
      <w:pPr>
        <w:pStyle w:val="Heading1"/>
        <w:spacing w:after="240"/>
      </w:pPr>
      <w:r>
        <w:rPr>
          <w:rFonts w:ascii="Arial" w:cs="Arial" w:eastAsia="Arial" w:hAnsi="Arial"/>
          <w:b/>
          <w:bCs/>
          <w:color w:val="1B3A5C"/>
          <w:sz w:val="28"/>
          <w:szCs w:val="28"/>
        </w:rPr>
        <w:t xml:space="preserve">Working Groups</w:t>
      </w:r>
    </w:p>
    <w:p>
      <w:pPr>
        <w:pStyle w:val="Heading2"/>
        <w:spacing w:after="160" w:before="360"/>
      </w:pPr>
      <w:r>
        <w:rPr>
          <w:rFonts w:ascii="Arial" w:cs="Arial" w:eastAsia="Arial" w:hAnsi="Arial"/>
          <w:b/>
          <w:bCs/>
          <w:color w:val="1B3A5C"/>
          <w:sz w:val="26"/>
          <w:szCs w:val="26"/>
        </w:rPr>
        <w:t xml:space="preserve">Working Group 1: AI in Clinical Practice and Operations</w:t>
      </w:r>
    </w:p>
    <w:p>
      <w:pPr>
        <w:spacing w:after="160"/>
      </w:pPr>
      <w:r>
        <w:rPr>
          <w:rFonts w:ascii="Arial" w:cs="Arial" w:eastAsia="Arial" w:hAnsi="Arial"/>
          <w:sz w:val="22"/>
          <w:szCs w:val="22"/>
        </w:rPr>
        <w:t xml:space="preserve">This working group will examine how AI technologies can be integrated into the clinical workflow of emergency departments to enhance both patient-level decision-making and system-level operations. The group will organize its work around two interconnected tracks: (a) patient-level AI applications, including diagnostic support, risk prediction, clinical decision-making, and the evolving role of automation in acute care; and (b) system-level AI applications, including triage, patient flow, resource allocation, and operational efficiency.</w:t>
      </w:r>
    </w:p>
    <w:p>
      <w:pPr>
        <w:spacing w:after="80" w:before="120"/>
      </w:pPr>
      <w:r>
        <w:rPr>
          <w:rFonts w:ascii="Arial" w:cs="Arial" w:eastAsia="Arial" w:hAnsi="Arial"/>
          <w:b/>
          <w:bCs/>
          <w:sz w:val="22"/>
          <w:szCs w:val="22"/>
        </w:rPr>
        <w:t xml:space="preserve">Suggested Topics:</w:t>
      </w:r>
    </w:p>
    <w:p>
      <w:pPr>
        <w:pStyle w:val="ListParagraph"/>
        <w:numPr>
          <w:ilvl w:val="0"/>
          <w:numId w:val="2"/>
        </w:numPr>
        <w:spacing w:after="60"/>
      </w:pPr>
      <w:r>
        <w:rPr>
          <w:rFonts w:ascii="Arial" w:cs="Arial" w:eastAsia="Arial" w:hAnsi="Arial"/>
          <w:sz w:val="22"/>
          <w:szCs w:val="22"/>
        </w:rPr>
        <w:t xml:space="preserve">AI-driven clinical decision support tools for emergency care</w:t>
      </w:r>
    </w:p>
    <w:p>
      <w:pPr>
        <w:pStyle w:val="ListParagraph"/>
        <w:numPr>
          <w:ilvl w:val="0"/>
          <w:numId w:val="2"/>
        </w:numPr>
        <w:spacing w:after="60"/>
      </w:pPr>
      <w:r>
        <w:rPr>
          <w:rFonts w:ascii="Arial" w:cs="Arial" w:eastAsia="Arial" w:hAnsi="Arial"/>
          <w:sz w:val="22"/>
          <w:szCs w:val="22"/>
        </w:rPr>
        <w:t xml:space="preserve">Predictive analytics for patient outcomes and clinical deterioration</w:t>
      </w:r>
    </w:p>
    <w:p>
      <w:pPr>
        <w:pStyle w:val="ListParagraph"/>
        <w:numPr>
          <w:ilvl w:val="0"/>
          <w:numId w:val="2"/>
        </w:numPr>
        <w:spacing w:after="60"/>
      </w:pPr>
      <w:r>
        <w:rPr>
          <w:rFonts w:ascii="Arial" w:cs="Arial" w:eastAsia="Arial" w:hAnsi="Arial"/>
          <w:sz w:val="22"/>
          <w:szCs w:val="22"/>
        </w:rPr>
        <w:t xml:space="preserve">Real-time diagnostic aids and imaging interpretation</w:t>
      </w:r>
    </w:p>
    <w:p>
      <w:pPr>
        <w:pStyle w:val="ListParagraph"/>
        <w:numPr>
          <w:ilvl w:val="0"/>
          <w:numId w:val="2"/>
        </w:numPr>
        <w:spacing w:after="60"/>
      </w:pPr>
      <w:r>
        <w:rPr>
          <w:rFonts w:ascii="Arial" w:cs="Arial" w:eastAsia="Arial" w:hAnsi="Arial"/>
          <w:sz w:val="22"/>
          <w:szCs w:val="22"/>
        </w:rPr>
        <w:t xml:space="preserve">Triage optimization and risk stratification using AI</w:t>
      </w:r>
    </w:p>
    <w:p>
      <w:pPr>
        <w:pStyle w:val="ListParagraph"/>
        <w:numPr>
          <w:ilvl w:val="0"/>
          <w:numId w:val="2"/>
        </w:numPr>
        <w:spacing w:after="60"/>
      </w:pPr>
      <w:r>
        <w:rPr>
          <w:rFonts w:ascii="Arial" w:cs="Arial" w:eastAsia="Arial" w:hAnsi="Arial"/>
          <w:sz w:val="22"/>
          <w:szCs w:val="22"/>
        </w:rPr>
        <w:t xml:space="preserve">Patient flow, throughput management, and workflow optimization</w:t>
      </w:r>
    </w:p>
    <w:p>
      <w:pPr>
        <w:pStyle w:val="ListParagraph"/>
        <w:numPr>
          <w:ilvl w:val="0"/>
          <w:numId w:val="2"/>
        </w:numPr>
        <w:spacing w:after="60"/>
      </w:pPr>
      <w:r>
        <w:rPr>
          <w:rFonts w:ascii="Arial" w:cs="Arial" w:eastAsia="Arial" w:hAnsi="Arial"/>
          <w:sz w:val="22"/>
          <w:szCs w:val="22"/>
        </w:rPr>
        <w:t xml:space="preserve">Resource allocation and capacity planning</w:t>
      </w:r>
    </w:p>
    <w:p>
      <w:pPr>
        <w:pStyle w:val="ListParagraph"/>
        <w:numPr>
          <w:ilvl w:val="0"/>
          <w:numId w:val="2"/>
        </w:numPr>
        <w:spacing w:after="60"/>
      </w:pPr>
      <w:r>
        <w:rPr>
          <w:rFonts w:ascii="Arial" w:cs="Arial" w:eastAsia="Arial" w:hAnsi="Arial"/>
          <w:sz w:val="22"/>
          <w:szCs w:val="22"/>
        </w:rPr>
        <w:t xml:space="preserve">The integration of increasingly autonomous AI systems into clinical workflows</w:t>
      </w:r>
    </w:p>
    <w:p>
      <w:pPr>
        <w:pStyle w:val="ListParagraph"/>
        <w:numPr>
          <w:ilvl w:val="0"/>
          <w:numId w:val="2"/>
        </w:numPr>
        <w:spacing w:after="60"/>
      </w:pPr>
      <w:r>
        <w:rPr>
          <w:rFonts w:ascii="Arial" w:cs="Arial" w:eastAsia="Arial" w:hAnsi="Arial"/>
          <w:sz w:val="22"/>
          <w:szCs w:val="22"/>
        </w:rPr>
        <w:t xml:space="preserve">Strategies for maintaining appropriate human oversight as automation advances</w:t>
      </w:r>
    </w:p>
    <w:p>
      <w:pPr>
        <w:spacing w:after="20" w:before="200"/>
      </w:pPr>
      <w:r>
        <w:rPr>
          <w:rFonts w:ascii="Arial" w:cs="Arial" w:eastAsia="Arial" w:hAnsi="Arial"/>
          <w:b/>
          <w:bCs/>
          <w:sz w:val="22"/>
          <w:szCs w:val="22"/>
        </w:rPr>
        <w:t xml:space="preserve">Research Focus:</w:t>
      </w:r>
    </w:p>
    <w:p>
      <w:pPr>
        <w:spacing w:after="160"/>
      </w:pPr>
      <w:r>
        <w:rPr>
          <w:rFonts w:ascii="Arial" w:cs="Arial" w:eastAsia="Arial" w:hAnsi="Arial"/>
          <w:sz w:val="22"/>
          <w:szCs w:val="22"/>
        </w:rPr>
        <w:t xml:space="preserve">The group will identify critical knowledge gaps in translating AI from research settings into routine clinical use, including challenges related to implementation, clinician trust, workflow disruption, real-world validation, and the conditions under which increasing levels of AI autonomy are appropriate and safe. The group should consider how AI applications in clinical practice may differentially impact priority populations, including those affected by social determinants of health and disparities in emergency care access. Research questions should be empirically testable and suitable for funded investigation.</w:t>
      </w:r>
    </w:p>
    <w:p>
      <w:pPr>
        <w:spacing w:after="120"/>
      </w:pPr>
      <w:r>
        <w:rPr>
          <w:rFonts w:ascii="Arial" w:cs="Arial" w:eastAsia="Arial" w:hAnsi="Arial"/>
          <w:b/>
          <w:bCs/>
          <w:sz w:val="22"/>
          <w:szCs w:val="22"/>
        </w:rPr>
        <w:t xml:space="preserve">Deliverable:</w:t>
      </w:r>
    </w:p>
    <w:p>
      <w:pPr>
        <w:spacing w:after="360"/>
      </w:pPr>
      <w:r>
        <w:rPr>
          <w:rFonts w:ascii="Arial" w:cs="Arial" w:eastAsia="Arial" w:hAnsi="Arial"/>
          <w:sz w:val="22"/>
          <w:szCs w:val="22"/>
        </w:rPr>
        <w:t xml:space="preserve">The working group will produce a consensus-driven set of research questions that define the highest priorities for investigating AI's role in improving the quality, safety, efficiency, and equity of emergency care delivery over the next decade.</w:t>
      </w:r>
    </w:p>
    <w:p>
      <w:pPr>
        <w:pBdr>
          <w:bottom w:val="single" w:color="CCCCCC" w:sz="4" w:space="8"/>
        </w:pBdr>
        <w:spacing w:after="120"/>
      </w:pPr>
    </w:p>
    <w:p>
      <w:pPr>
        <w:pStyle w:val="Heading2"/>
        <w:spacing w:after="160" w:before="360"/>
      </w:pPr>
      <w:r>
        <w:rPr>
          <w:rFonts w:ascii="Arial" w:cs="Arial" w:eastAsia="Arial" w:hAnsi="Arial"/>
          <w:b/>
          <w:bCs/>
          <w:color w:val="1B3A5C"/>
          <w:sz w:val="26"/>
          <w:szCs w:val="26"/>
        </w:rPr>
        <w:t xml:space="preserve">Working Group 2: AI Technology: Infrastructure and Data Ecosystems</w:t>
      </w:r>
    </w:p>
    <w:p>
      <w:pPr>
        <w:spacing w:after="160"/>
      </w:pPr>
      <w:r>
        <w:rPr>
          <w:rFonts w:ascii="Arial" w:cs="Arial" w:eastAsia="Arial" w:hAnsi="Arial"/>
          <w:sz w:val="22"/>
          <w:szCs w:val="22"/>
        </w:rPr>
        <w:t xml:space="preserve">This working group will address the foundational technical, data, and translational requirements for moving AI from development to safe, sustained deployment in emergency medicine. While other working groups focus on what AI does in clinical settings, this group focuses on what it takes to make AI work reliably: the infrastructure, data systems, and institutional processes that determine whether AI tools can be developed, validated, deployed, monitored, and maintained at scale.</w:t>
      </w:r>
    </w:p>
    <w:p>
      <w:pPr>
        <w:spacing w:after="80" w:before="120"/>
      </w:pPr>
      <w:r>
        <w:rPr>
          <w:rFonts w:ascii="Arial" w:cs="Arial" w:eastAsia="Arial" w:hAnsi="Arial"/>
          <w:b/>
          <w:bCs/>
          <w:sz w:val="22"/>
          <w:szCs w:val="22"/>
        </w:rPr>
        <w:t xml:space="preserve">Suggested Topics:</w:t>
      </w:r>
    </w:p>
    <w:p>
      <w:pPr>
        <w:pStyle w:val="ListParagraph"/>
        <w:numPr>
          <w:ilvl w:val="0"/>
          <w:numId w:val="2"/>
        </w:numPr>
        <w:spacing w:after="60"/>
      </w:pPr>
      <w:r>
        <w:rPr>
          <w:rFonts w:ascii="Arial" w:cs="Arial" w:eastAsia="Arial" w:hAnsi="Arial"/>
          <w:sz w:val="22"/>
          <w:szCs w:val="22"/>
        </w:rPr>
        <w:t xml:space="preserve">Scalable data architectures for real-time AI applications in emergency care</w:t>
      </w:r>
    </w:p>
    <w:p>
      <w:pPr>
        <w:pStyle w:val="ListParagraph"/>
        <w:numPr>
          <w:ilvl w:val="0"/>
          <w:numId w:val="2"/>
        </w:numPr>
        <w:spacing w:after="60"/>
      </w:pPr>
      <w:r>
        <w:rPr>
          <w:rFonts w:ascii="Arial" w:cs="Arial" w:eastAsia="Arial" w:hAnsi="Arial"/>
          <w:sz w:val="22"/>
          <w:szCs w:val="22"/>
        </w:rPr>
        <w:t xml:space="preserve">Interoperability and data standardization across EHRs and health systems</w:t>
      </w:r>
    </w:p>
    <w:p>
      <w:pPr>
        <w:pStyle w:val="ListParagraph"/>
        <w:numPr>
          <w:ilvl w:val="0"/>
          <w:numId w:val="2"/>
        </w:numPr>
        <w:spacing w:after="60"/>
      </w:pPr>
      <w:r>
        <w:rPr>
          <w:rFonts w:ascii="Arial" w:cs="Arial" w:eastAsia="Arial" w:hAnsi="Arial"/>
          <w:sz w:val="22"/>
          <w:szCs w:val="22"/>
        </w:rPr>
        <w:t xml:space="preserve">Data governance and security frameworks for clinical AI</w:t>
      </w:r>
    </w:p>
    <w:p>
      <w:pPr>
        <w:pStyle w:val="ListParagraph"/>
        <w:numPr>
          <w:ilvl w:val="0"/>
          <w:numId w:val="2"/>
        </w:numPr>
        <w:spacing w:after="60"/>
      </w:pPr>
      <w:r>
        <w:rPr>
          <w:rFonts w:ascii="Arial" w:cs="Arial" w:eastAsia="Arial" w:hAnsi="Arial"/>
          <w:sz w:val="22"/>
          <w:szCs w:val="22"/>
        </w:rPr>
        <w:t xml:space="preserve">Data quality assurance and continuous model learning</w:t>
      </w:r>
    </w:p>
    <w:p>
      <w:pPr>
        <w:pStyle w:val="ListParagraph"/>
        <w:numPr>
          <w:ilvl w:val="0"/>
          <w:numId w:val="2"/>
        </w:numPr>
        <w:spacing w:after="60"/>
      </w:pPr>
      <w:r>
        <w:rPr>
          <w:rFonts w:ascii="Arial" w:cs="Arial" w:eastAsia="Arial" w:hAnsi="Arial"/>
          <w:sz w:val="22"/>
          <w:szCs w:val="22"/>
        </w:rPr>
        <w:t xml:space="preserve">Model lifecycle management from development through retirement</w:t>
      </w:r>
    </w:p>
    <w:p>
      <w:pPr>
        <w:pStyle w:val="ListParagraph"/>
        <w:numPr>
          <w:ilvl w:val="0"/>
          <w:numId w:val="2"/>
        </w:numPr>
        <w:spacing w:after="60"/>
      </w:pPr>
      <w:r>
        <w:rPr>
          <w:rFonts w:ascii="Arial" w:cs="Arial" w:eastAsia="Arial" w:hAnsi="Arial"/>
          <w:sz w:val="22"/>
          <w:szCs w:val="22"/>
        </w:rPr>
        <w:t xml:space="preserve">Technical approaches to detecting and mitigating bias in training data and deployed systems</w:t>
      </w:r>
    </w:p>
    <w:p>
      <w:pPr>
        <w:pStyle w:val="ListParagraph"/>
        <w:numPr>
          <w:ilvl w:val="0"/>
          <w:numId w:val="2"/>
        </w:numPr>
        <w:spacing w:after="60"/>
      </w:pPr>
      <w:r>
        <w:rPr>
          <w:rFonts w:ascii="Arial" w:cs="Arial" w:eastAsia="Arial" w:hAnsi="Arial"/>
          <w:sz w:val="22"/>
          <w:szCs w:val="22"/>
        </w:rPr>
        <w:t xml:space="preserve">Institutional and regulatory processes required to bring AI tools into clinical use</w:t>
      </w:r>
    </w:p>
    <w:p>
      <w:pPr>
        <w:spacing w:after="20" w:before="200"/>
      </w:pPr>
      <w:r>
        <w:rPr>
          <w:rFonts w:ascii="Arial" w:cs="Arial" w:eastAsia="Arial" w:hAnsi="Arial"/>
          <w:b/>
          <w:bCs/>
          <w:sz w:val="22"/>
          <w:szCs w:val="22"/>
        </w:rPr>
        <w:t xml:space="preserve">Research Focus:</w:t>
      </w:r>
    </w:p>
    <w:p>
      <w:pPr>
        <w:spacing w:after="160"/>
      </w:pPr>
      <w:r>
        <w:rPr>
          <w:rFonts w:ascii="Arial" w:cs="Arial" w:eastAsia="Arial" w:hAnsi="Arial"/>
          <w:sz w:val="22"/>
          <w:szCs w:val="22"/>
        </w:rPr>
        <w:t xml:space="preserve">The group will identify research priorities related to building robust, secure, and interoperable data ecosystems that support the full translational pipeline, from algorithm development through real-world deployment and ongoing monitoring. Attention should be given to how infrastructure and data decisions affect representativeness, algorithmic fairness, and the ability to audit and correct deployed systems over time. Research questions should be empirically testable and suitable for funded investigation.</w:t>
      </w:r>
    </w:p>
    <w:p>
      <w:pPr>
        <w:spacing w:after="120"/>
      </w:pPr>
      <w:r>
        <w:rPr>
          <w:rFonts w:ascii="Arial" w:cs="Arial" w:eastAsia="Arial" w:hAnsi="Arial"/>
          <w:b/>
          <w:bCs/>
          <w:sz w:val="22"/>
          <w:szCs w:val="22"/>
        </w:rPr>
        <w:t xml:space="preserve">Deliverable:</w:t>
      </w:r>
    </w:p>
    <w:p>
      <w:pPr>
        <w:spacing w:after="360"/>
      </w:pPr>
      <w:r>
        <w:rPr>
          <w:rFonts w:ascii="Arial" w:cs="Arial" w:eastAsia="Arial" w:hAnsi="Arial"/>
          <w:sz w:val="22"/>
          <w:szCs w:val="22"/>
        </w:rPr>
        <w:t xml:space="preserve">The working group will produce a consensus-driven set of research questions focused on the technical and translational foundations necessary to enable safe, effective, and equitable AI implementation in emergency medicine.</w:t>
      </w:r>
    </w:p>
    <w:p>
      <w:pPr>
        <w:pBdr>
          <w:bottom w:val="single" w:color="CCCCCC" w:sz="4" w:space="8"/>
        </w:pBdr>
        <w:spacing w:after="120"/>
      </w:pPr>
    </w:p>
    <w:p>
      <w:pPr>
        <w:pStyle w:val="Heading2"/>
        <w:spacing w:after="160" w:before="360"/>
      </w:pPr>
      <w:r>
        <w:rPr>
          <w:rFonts w:ascii="Arial" w:cs="Arial" w:eastAsia="Arial" w:hAnsi="Arial"/>
          <w:b/>
          <w:bCs/>
          <w:color w:val="1B3A5C"/>
          <w:sz w:val="26"/>
          <w:szCs w:val="26"/>
        </w:rPr>
        <w:t xml:space="preserve">Working Group 3: AI Education, Training, and Competency Development</w:t>
      </w:r>
    </w:p>
    <w:p>
      <w:pPr>
        <w:spacing w:after="160"/>
      </w:pPr>
      <w:r>
        <w:rPr>
          <w:rFonts w:ascii="Arial" w:cs="Arial" w:eastAsia="Arial" w:hAnsi="Arial"/>
          <w:sz w:val="22"/>
          <w:szCs w:val="22"/>
        </w:rPr>
        <w:t xml:space="preserve">This working group will examine what emergency medicine professionals need to know, and know how to do, to effectively and responsibly work with AI in clinical practice. A central task of this group will be defining the core competencies emergency medicine professionals need to work with AI, competencies that do not yet exist in any standardized form, and identifying the research needed to develop, teach, and assess them.</w:t>
      </w:r>
    </w:p>
    <w:p>
      <w:pPr>
        <w:spacing w:after="80" w:before="120"/>
      </w:pPr>
      <w:r>
        <w:rPr>
          <w:rFonts w:ascii="Arial" w:cs="Arial" w:eastAsia="Arial" w:hAnsi="Arial"/>
          <w:b/>
          <w:bCs/>
          <w:sz w:val="22"/>
          <w:szCs w:val="22"/>
        </w:rPr>
        <w:t xml:space="preserve">Suggested Topics:</w:t>
      </w:r>
    </w:p>
    <w:p>
      <w:pPr>
        <w:pStyle w:val="ListParagraph"/>
        <w:numPr>
          <w:ilvl w:val="0"/>
          <w:numId w:val="2"/>
        </w:numPr>
        <w:spacing w:after="60"/>
      </w:pPr>
      <w:r>
        <w:rPr>
          <w:rFonts w:ascii="Arial" w:cs="Arial" w:eastAsia="Arial" w:hAnsi="Arial"/>
          <w:sz w:val="22"/>
          <w:szCs w:val="22"/>
        </w:rPr>
        <w:t xml:space="preserve">Defining AI-related competencies for emergency physicians at all career stages</w:t>
      </w:r>
    </w:p>
    <w:p>
      <w:pPr>
        <w:pStyle w:val="ListParagraph"/>
        <w:numPr>
          <w:ilvl w:val="0"/>
          <w:numId w:val="2"/>
        </w:numPr>
        <w:spacing w:after="60"/>
      </w:pPr>
      <w:r>
        <w:rPr>
          <w:rFonts w:ascii="Arial" w:cs="Arial" w:eastAsia="Arial" w:hAnsi="Arial"/>
          <w:sz w:val="22"/>
          <w:szCs w:val="22"/>
        </w:rPr>
        <w:t xml:space="preserve">Curriculum development integrating AI and data science concepts into undergraduate medical education and graduate medical training</w:t>
      </w:r>
    </w:p>
    <w:p>
      <w:pPr>
        <w:pStyle w:val="ListParagraph"/>
        <w:numPr>
          <w:ilvl w:val="0"/>
          <w:numId w:val="2"/>
        </w:numPr>
        <w:spacing w:after="60"/>
      </w:pPr>
      <w:r>
        <w:rPr>
          <w:rFonts w:ascii="Arial" w:cs="Arial" w:eastAsia="Arial" w:hAnsi="Arial"/>
          <w:sz w:val="22"/>
          <w:szCs w:val="22"/>
        </w:rPr>
        <w:t xml:space="preserve">Simulation-based and experiential training approaches</w:t>
      </w:r>
    </w:p>
    <w:p>
      <w:pPr>
        <w:pStyle w:val="ListParagraph"/>
        <w:numPr>
          <w:ilvl w:val="0"/>
          <w:numId w:val="2"/>
        </w:numPr>
        <w:spacing w:after="60"/>
      </w:pPr>
      <w:r>
        <w:rPr>
          <w:rFonts w:ascii="Arial" w:cs="Arial" w:eastAsia="Arial" w:hAnsi="Arial"/>
          <w:sz w:val="22"/>
          <w:szCs w:val="22"/>
        </w:rPr>
        <w:t xml:space="preserve">Continuing professional development frameworks for practicing clinicians</w:t>
      </w:r>
    </w:p>
    <w:p>
      <w:pPr>
        <w:pStyle w:val="ListParagraph"/>
        <w:numPr>
          <w:ilvl w:val="0"/>
          <w:numId w:val="2"/>
        </w:numPr>
        <w:spacing w:after="60"/>
      </w:pPr>
      <w:r>
        <w:rPr>
          <w:rFonts w:ascii="Arial" w:cs="Arial" w:eastAsia="Arial" w:hAnsi="Arial"/>
          <w:sz w:val="22"/>
          <w:szCs w:val="22"/>
        </w:rPr>
        <w:t xml:space="preserve">Faculty development for teaching AI concepts</w:t>
      </w:r>
    </w:p>
    <w:p>
      <w:pPr>
        <w:pStyle w:val="ListParagraph"/>
        <w:numPr>
          <w:ilvl w:val="0"/>
          <w:numId w:val="2"/>
        </w:numPr>
        <w:spacing w:after="60"/>
      </w:pPr>
      <w:r>
        <w:rPr>
          <w:rFonts w:ascii="Arial" w:cs="Arial" w:eastAsia="Arial" w:hAnsi="Arial"/>
          <w:sz w:val="22"/>
          <w:szCs w:val="22"/>
        </w:rPr>
        <w:t xml:space="preserve">Interdisciplinary educational collaboration across medicine, data science, and engineering</w:t>
      </w:r>
    </w:p>
    <w:p>
      <w:pPr>
        <w:pStyle w:val="ListParagraph"/>
        <w:numPr>
          <w:ilvl w:val="0"/>
          <w:numId w:val="2"/>
        </w:numPr>
        <w:spacing w:after="60"/>
      </w:pPr>
      <w:r>
        <w:rPr>
          <w:rFonts w:ascii="Arial" w:cs="Arial" w:eastAsia="Arial" w:hAnsi="Arial"/>
          <w:sz w:val="22"/>
          <w:szCs w:val="22"/>
        </w:rPr>
        <w:t xml:space="preserve">Strategies for teaching clinicians to critically appraise AI outputs, calibrate trust appropriately, and recognize AI limitations</w:t>
      </w:r>
    </w:p>
    <w:p>
      <w:pPr>
        <w:spacing w:after="20" w:before="200"/>
      </w:pPr>
      <w:r>
        <w:rPr>
          <w:rFonts w:ascii="Arial" w:cs="Arial" w:eastAsia="Arial" w:hAnsi="Arial"/>
          <w:b/>
          <w:bCs/>
          <w:sz w:val="22"/>
          <w:szCs w:val="22"/>
        </w:rPr>
        <w:t xml:space="preserve">Research Focus:</w:t>
      </w:r>
    </w:p>
    <w:p>
      <w:pPr>
        <w:spacing w:after="160"/>
      </w:pPr>
      <w:r>
        <w:rPr>
          <w:rFonts w:ascii="Arial" w:cs="Arial" w:eastAsia="Arial" w:hAnsi="Arial"/>
          <w:sz w:val="22"/>
          <w:szCs w:val="22"/>
        </w:rPr>
        <w:t xml:space="preserve">The group will identify critical gaps between the current state of AI education in emergency medicine and what is needed to prepare the workforce for a clinical environment in which AI capabilities are rapidly evolving and increasingly embedded in routine tools. This includes understanding how to develop training that keeps pace with the technology and prepares clinicians to work alongside AI systems of increasing sophistication. Research questions should be empirically testable and suitable for funded investigation.</w:t>
      </w:r>
    </w:p>
    <w:p>
      <w:pPr>
        <w:spacing w:after="120"/>
      </w:pPr>
      <w:r>
        <w:rPr>
          <w:rFonts w:ascii="Arial" w:cs="Arial" w:eastAsia="Arial" w:hAnsi="Arial"/>
          <w:b/>
          <w:bCs/>
          <w:sz w:val="22"/>
          <w:szCs w:val="22"/>
        </w:rPr>
        <w:t xml:space="preserve">Deliverable:</w:t>
      </w:r>
    </w:p>
    <w:p>
      <w:pPr>
        <w:spacing w:after="360"/>
      </w:pPr>
      <w:r>
        <w:rPr>
          <w:rFonts w:ascii="Arial" w:cs="Arial" w:eastAsia="Arial" w:hAnsi="Arial"/>
          <w:sz w:val="22"/>
          <w:szCs w:val="22"/>
        </w:rPr>
        <w:t xml:space="preserve">The working group will produce a consensus-driven set of research questions that establish priorities for building the educational and competency infrastructure to support AI integration across the emergency medicine workforce.</w:t>
      </w:r>
    </w:p>
    <w:p>
      <w:pPr>
        <w:pBdr>
          <w:bottom w:val="single" w:color="CCCCCC" w:sz="4" w:space="8"/>
        </w:pBdr>
        <w:spacing w:after="120"/>
      </w:pPr>
    </w:p>
    <w:p>
      <w:pPr>
        <w:pStyle w:val="Heading2"/>
        <w:spacing w:after="160" w:before="360"/>
      </w:pPr>
      <w:r>
        <w:rPr>
          <w:rFonts w:ascii="Arial" w:cs="Arial" w:eastAsia="Arial" w:hAnsi="Arial"/>
          <w:b/>
          <w:bCs/>
          <w:color w:val="1B3A5C"/>
          <w:sz w:val="26"/>
          <w:szCs w:val="26"/>
        </w:rPr>
        <w:t xml:space="preserve">Working Group 4: Human-AI Interaction and the Perception of Self</w:t>
      </w:r>
    </w:p>
    <w:p>
      <w:pPr>
        <w:spacing w:after="160"/>
      </w:pPr>
      <w:r>
        <w:rPr>
          <w:rFonts w:ascii="Arial" w:cs="Arial" w:eastAsia="Arial" w:hAnsi="Arial"/>
          <w:sz w:val="22"/>
          <w:szCs w:val="22"/>
        </w:rPr>
        <w:t xml:space="preserve">This working group will explore how the introduction of AI into emergency medicine affects the humans at the center of care, including clinicians, trainees, and patients, and how those interactions shape clinical performance, professional identity, and the care experience. The group will organize its work around two complementary tracks: (a) clinician-AI interaction, including the effects of AI on clinical judgment, cognitive processes, autonomy, professional identity, and well-being; and (b) patient-AI interaction, including how patients experience, perceive, and respond to AI-involved care.</w:t>
      </w:r>
    </w:p>
    <w:p>
      <w:pPr>
        <w:spacing w:after="80" w:before="120"/>
      </w:pPr>
      <w:r>
        <w:rPr>
          <w:rFonts w:ascii="Arial" w:cs="Arial" w:eastAsia="Arial" w:hAnsi="Arial"/>
          <w:b/>
          <w:bCs/>
          <w:sz w:val="22"/>
          <w:szCs w:val="22"/>
        </w:rPr>
        <w:t xml:space="preserve">Suggested Topics:</w:t>
      </w:r>
    </w:p>
    <w:p>
      <w:pPr>
        <w:pStyle w:val="ListParagraph"/>
        <w:numPr>
          <w:ilvl w:val="0"/>
          <w:numId w:val="2"/>
        </w:numPr>
        <w:spacing w:after="60"/>
      </w:pPr>
      <w:r>
        <w:rPr>
          <w:rFonts w:ascii="Arial" w:cs="Arial" w:eastAsia="Arial" w:hAnsi="Arial"/>
          <w:sz w:val="22"/>
          <w:szCs w:val="22"/>
        </w:rPr>
        <w:t xml:space="preserve">The influence of AI on clinical reasoning and decision-making autonomy</w:t>
      </w:r>
    </w:p>
    <w:p>
      <w:pPr>
        <w:pStyle w:val="ListParagraph"/>
        <w:numPr>
          <w:ilvl w:val="0"/>
          <w:numId w:val="2"/>
        </w:numPr>
        <w:spacing w:after="60"/>
      </w:pPr>
      <w:r>
        <w:rPr>
          <w:rFonts w:ascii="Arial" w:cs="Arial" w:eastAsia="Arial" w:hAnsi="Arial"/>
          <w:sz w:val="22"/>
          <w:szCs w:val="22"/>
        </w:rPr>
        <w:t xml:space="preserve">Cognitive and behavioral responses to AI recommendations</w:t>
      </w:r>
    </w:p>
    <w:p>
      <w:pPr>
        <w:pStyle w:val="ListParagraph"/>
        <w:numPr>
          <w:ilvl w:val="0"/>
          <w:numId w:val="2"/>
        </w:numPr>
        <w:spacing w:after="60"/>
      </w:pPr>
      <w:r>
        <w:rPr>
          <w:rFonts w:ascii="Arial" w:cs="Arial" w:eastAsia="Arial" w:hAnsi="Arial"/>
          <w:sz w:val="22"/>
          <w:szCs w:val="22"/>
        </w:rPr>
        <w:t xml:space="preserve">Impact of AI on clinician burnout, moral injury, and professional identity</w:t>
      </w:r>
    </w:p>
    <w:p>
      <w:pPr>
        <w:pStyle w:val="ListParagraph"/>
        <w:numPr>
          <w:ilvl w:val="0"/>
          <w:numId w:val="2"/>
        </w:numPr>
        <w:spacing w:after="60"/>
      </w:pPr>
      <w:r>
        <w:rPr>
          <w:rFonts w:ascii="Arial" w:cs="Arial" w:eastAsia="Arial" w:hAnsi="Arial"/>
          <w:sz w:val="22"/>
          <w:szCs w:val="22"/>
        </w:rPr>
        <w:t xml:space="preserve">How clinicians' sense of expertise and agency evolves as AI takes on more clinical functions</w:t>
      </w:r>
    </w:p>
    <w:p>
      <w:pPr>
        <w:pStyle w:val="ListParagraph"/>
        <w:numPr>
          <w:ilvl w:val="0"/>
          <w:numId w:val="2"/>
        </w:numPr>
        <w:spacing w:after="60"/>
      </w:pPr>
      <w:r>
        <w:rPr>
          <w:rFonts w:ascii="Arial" w:cs="Arial" w:eastAsia="Arial" w:hAnsi="Arial"/>
          <w:sz w:val="22"/>
          <w:szCs w:val="22"/>
        </w:rPr>
        <w:t xml:space="preserve">The tendency to attribute human-like qualities to AI systems and its implications for trust and reliance</w:t>
      </w:r>
    </w:p>
    <w:p>
      <w:pPr>
        <w:pStyle w:val="ListParagraph"/>
        <w:numPr>
          <w:ilvl w:val="0"/>
          <w:numId w:val="2"/>
        </w:numPr>
        <w:spacing w:after="60"/>
      </w:pPr>
      <w:r>
        <w:rPr>
          <w:rFonts w:ascii="Arial" w:cs="Arial" w:eastAsia="Arial" w:hAnsi="Arial"/>
          <w:sz w:val="22"/>
          <w:szCs w:val="22"/>
        </w:rPr>
        <w:t xml:space="preserve">Strategies for designing human-AI collaboration that preserves humanistic care</w:t>
      </w:r>
    </w:p>
    <w:p>
      <w:pPr>
        <w:pStyle w:val="ListParagraph"/>
        <w:numPr>
          <w:ilvl w:val="0"/>
          <w:numId w:val="2"/>
        </w:numPr>
        <w:spacing w:after="60"/>
      </w:pPr>
      <w:r>
        <w:rPr>
          <w:rFonts w:ascii="Arial" w:cs="Arial" w:eastAsia="Arial" w:hAnsi="Arial"/>
          <w:sz w:val="22"/>
          <w:szCs w:val="22"/>
        </w:rPr>
        <w:t xml:space="preserve">The patient experience of AI-involved care, including trust, communication, transparency, and shared decision-making</w:t>
      </w:r>
    </w:p>
    <w:p>
      <w:pPr>
        <w:spacing w:after="20" w:before="200"/>
      </w:pPr>
      <w:r>
        <w:rPr>
          <w:rFonts w:ascii="Arial" w:cs="Arial" w:eastAsia="Arial" w:hAnsi="Arial"/>
          <w:b/>
          <w:bCs/>
          <w:sz w:val="22"/>
          <w:szCs w:val="22"/>
        </w:rPr>
        <w:t xml:space="preserve">Research Focus:</w:t>
      </w:r>
    </w:p>
    <w:p>
      <w:pPr>
        <w:spacing w:after="160"/>
      </w:pPr>
      <w:r>
        <w:rPr>
          <w:rFonts w:ascii="Arial" w:cs="Arial" w:eastAsia="Arial" w:hAnsi="Arial"/>
          <w:sz w:val="22"/>
          <w:szCs w:val="22"/>
        </w:rPr>
        <w:t xml:space="preserve">The group will identify research priorities around understanding how emergency care providers and patients perceive, interact with, and are changed by AI systems, including how the nature of these interactions may shift as AI becomes more capable, more visible, and more embedded in the care relationship. This includes examining how AI may reshape professional roles, the clinician-patient relationship, and how to design systems that support rather than undermine clinician well-being and patient-centeredness. Research questions should be empirically testable and suitable for funded investigation.</w:t>
      </w:r>
    </w:p>
    <w:p>
      <w:pPr>
        <w:spacing w:after="120"/>
      </w:pPr>
      <w:r>
        <w:rPr>
          <w:rFonts w:ascii="Arial" w:cs="Arial" w:eastAsia="Arial" w:hAnsi="Arial"/>
          <w:b/>
          <w:bCs/>
          <w:sz w:val="22"/>
          <w:szCs w:val="22"/>
        </w:rPr>
        <w:t xml:space="preserve">Deliverable:</w:t>
      </w:r>
    </w:p>
    <w:p>
      <w:pPr>
        <w:spacing w:after="360"/>
      </w:pPr>
      <w:r>
        <w:rPr>
          <w:rFonts w:ascii="Arial" w:cs="Arial" w:eastAsia="Arial" w:hAnsi="Arial"/>
          <w:sz w:val="22"/>
          <w:szCs w:val="22"/>
        </w:rPr>
        <w:t xml:space="preserve">The working group will produce a consensus-driven set of research questions that define the most important areas for investigating the human dimensions of AI in emergency medicine.</w:t>
      </w:r>
    </w:p>
    <w:p>
      <w:pPr>
        <w:pBdr>
          <w:bottom w:val="single" w:color="CCCCCC" w:sz="4" w:space="8"/>
        </w:pBdr>
        <w:spacing w:after="120"/>
      </w:pPr>
    </w:p>
    <w:p>
      <w:pPr>
        <w:pStyle w:val="Heading2"/>
        <w:spacing w:after="160" w:before="360"/>
      </w:pPr>
      <w:r>
        <w:rPr>
          <w:rFonts w:ascii="Arial" w:cs="Arial" w:eastAsia="Arial" w:hAnsi="Arial"/>
          <w:b/>
          <w:bCs/>
          <w:color w:val="1B3A5C"/>
          <w:sz w:val="26"/>
          <w:szCs w:val="26"/>
        </w:rPr>
        <w:t xml:space="preserve">Working Group 5: Ethical, Legal, and Societal Implications of AI in Emergency Medicine</w:t>
      </w:r>
    </w:p>
    <w:p>
      <w:pPr>
        <w:spacing w:after="160"/>
      </w:pPr>
      <w:r>
        <w:rPr>
          <w:rFonts w:ascii="Arial" w:cs="Arial" w:eastAsia="Arial" w:hAnsi="Arial"/>
          <w:sz w:val="22"/>
          <w:szCs w:val="22"/>
        </w:rPr>
        <w:t xml:space="preserve">This working group will address the governance, policy, legal, and ethical questions raised by AI deployment in emergency care, focusing on the systemic and structural dimensions that shape whether AI is implemented justly and accountably. While all working groups consider equity as a cross-cutting theme, this group uniquely owns the institutional, regulatory, and policy landscape that governs how AI enters and operates within healthcare.</w:t>
      </w:r>
    </w:p>
    <w:p>
      <w:pPr>
        <w:spacing w:after="80" w:before="120"/>
      </w:pPr>
      <w:r>
        <w:rPr>
          <w:rFonts w:ascii="Arial" w:cs="Arial" w:eastAsia="Arial" w:hAnsi="Arial"/>
          <w:b/>
          <w:bCs/>
          <w:sz w:val="22"/>
          <w:szCs w:val="22"/>
        </w:rPr>
        <w:t xml:space="preserve">Suggested Topics:</w:t>
      </w:r>
    </w:p>
    <w:p>
      <w:pPr>
        <w:pStyle w:val="ListParagraph"/>
        <w:numPr>
          <w:ilvl w:val="0"/>
          <w:numId w:val="2"/>
        </w:numPr>
        <w:spacing w:after="60"/>
      </w:pPr>
      <w:r>
        <w:rPr>
          <w:rFonts w:ascii="Arial" w:cs="Arial" w:eastAsia="Arial" w:hAnsi="Arial"/>
          <w:sz w:val="22"/>
          <w:szCs w:val="22"/>
        </w:rPr>
        <w:t xml:space="preserve">Algorithmic bias and fairness at the population and health system level</w:t>
      </w:r>
    </w:p>
    <w:p>
      <w:pPr>
        <w:pStyle w:val="ListParagraph"/>
        <w:numPr>
          <w:ilvl w:val="0"/>
          <w:numId w:val="2"/>
        </w:numPr>
        <w:spacing w:after="60"/>
      </w:pPr>
      <w:r>
        <w:rPr>
          <w:rFonts w:ascii="Arial" w:cs="Arial" w:eastAsia="Arial" w:hAnsi="Arial"/>
          <w:sz w:val="22"/>
          <w:szCs w:val="22"/>
        </w:rPr>
        <w:t xml:space="preserve">Governance models and institutional accountability frameworks for clinical AI</w:t>
      </w:r>
    </w:p>
    <w:p>
      <w:pPr>
        <w:pStyle w:val="ListParagraph"/>
        <w:numPr>
          <w:ilvl w:val="0"/>
          <w:numId w:val="2"/>
        </w:numPr>
        <w:spacing w:after="60"/>
      </w:pPr>
      <w:r>
        <w:rPr>
          <w:rFonts w:ascii="Arial" w:cs="Arial" w:eastAsia="Arial" w:hAnsi="Arial"/>
          <w:sz w:val="22"/>
          <w:szCs w:val="22"/>
        </w:rPr>
        <w:t xml:space="preserve">Legal liability and accountability when AI informs or automates clinical decisions</w:t>
      </w:r>
    </w:p>
    <w:p>
      <w:pPr>
        <w:pStyle w:val="ListParagraph"/>
        <w:numPr>
          <w:ilvl w:val="0"/>
          <w:numId w:val="2"/>
        </w:numPr>
        <w:spacing w:after="60"/>
      </w:pPr>
      <w:r>
        <w:rPr>
          <w:rFonts w:ascii="Arial" w:cs="Arial" w:eastAsia="Arial" w:hAnsi="Arial"/>
          <w:sz w:val="22"/>
          <w:szCs w:val="22"/>
        </w:rPr>
        <w:t xml:space="preserve">Regulatory pathways and standards for AI in healthcare</w:t>
      </w:r>
    </w:p>
    <w:p>
      <w:pPr>
        <w:pStyle w:val="ListParagraph"/>
        <w:numPr>
          <w:ilvl w:val="0"/>
          <w:numId w:val="2"/>
        </w:numPr>
        <w:spacing w:after="60"/>
      </w:pPr>
      <w:r>
        <w:rPr>
          <w:rFonts w:ascii="Arial" w:cs="Arial" w:eastAsia="Arial" w:hAnsi="Arial"/>
          <w:sz w:val="22"/>
          <w:szCs w:val="22"/>
        </w:rPr>
        <w:t xml:space="preserve">Data privacy, consent, and transparency in the context of machine learning</w:t>
      </w:r>
    </w:p>
    <w:p>
      <w:pPr>
        <w:pStyle w:val="ListParagraph"/>
        <w:numPr>
          <w:ilvl w:val="0"/>
          <w:numId w:val="2"/>
        </w:numPr>
        <w:spacing w:after="60"/>
      </w:pPr>
      <w:r>
        <w:rPr>
          <w:rFonts w:ascii="Arial" w:cs="Arial" w:eastAsia="Arial" w:hAnsi="Arial"/>
          <w:sz w:val="22"/>
          <w:szCs w:val="22"/>
        </w:rPr>
        <w:t xml:space="preserve">The societal impact of AI on health disparities and access to emergency care</w:t>
      </w:r>
    </w:p>
    <w:p>
      <w:pPr>
        <w:pStyle w:val="ListParagraph"/>
        <w:numPr>
          <w:ilvl w:val="0"/>
          <w:numId w:val="2"/>
        </w:numPr>
        <w:spacing w:after="60"/>
      </w:pPr>
      <w:r>
        <w:rPr>
          <w:rFonts w:ascii="Arial" w:cs="Arial" w:eastAsia="Arial" w:hAnsi="Arial"/>
          <w:sz w:val="22"/>
          <w:szCs w:val="22"/>
        </w:rPr>
        <w:t xml:space="preserve">The evolving responsibilities of clinicians, institutions, and technology developers as AI systems become more autonomous</w:t>
      </w:r>
    </w:p>
    <w:p>
      <w:pPr>
        <w:pStyle w:val="ListParagraph"/>
        <w:numPr>
          <w:ilvl w:val="0"/>
          <w:numId w:val="2"/>
        </w:numPr>
        <w:spacing w:after="60"/>
      </w:pPr>
      <w:r>
        <w:rPr>
          <w:rFonts w:ascii="Arial" w:cs="Arial" w:eastAsia="Arial" w:hAnsi="Arial"/>
          <w:sz w:val="22"/>
          <w:szCs w:val="22"/>
        </w:rPr>
        <w:t xml:space="preserve">The implications for vulnerable and underserved populations who disproportionately rely on emergency departments</w:t>
      </w:r>
    </w:p>
    <w:p>
      <w:pPr>
        <w:spacing w:after="20" w:before="200"/>
      </w:pPr>
      <w:r>
        <w:rPr>
          <w:rFonts w:ascii="Arial" w:cs="Arial" w:eastAsia="Arial" w:hAnsi="Arial"/>
          <w:b/>
          <w:bCs/>
          <w:sz w:val="22"/>
          <w:szCs w:val="22"/>
        </w:rPr>
        <w:t xml:space="preserve">Research Focus:</w:t>
      </w:r>
    </w:p>
    <w:p>
      <w:pPr>
        <w:spacing w:after="160"/>
      </w:pPr>
      <w:r>
        <w:rPr>
          <w:rFonts w:ascii="Arial" w:cs="Arial" w:eastAsia="Arial" w:hAnsi="Arial"/>
          <w:sz w:val="22"/>
          <w:szCs w:val="22"/>
        </w:rPr>
        <w:t xml:space="preserve">The group will identify research priorities that ensure AI implementation in emergency medicine is guided by principles of equity, transparency, and accountability, with a focus on the policy, legal, and governance research needed to create the conditions for responsible AI use. This includes examining how existing regulatory and legal frameworks apply to AI in emergency care and where new frameworks are needed. Research questions should be empirically testable and suitable for funded investigation.</w:t>
      </w:r>
    </w:p>
    <w:p>
      <w:pPr>
        <w:spacing w:after="120"/>
      </w:pPr>
      <w:r>
        <w:rPr>
          <w:rFonts w:ascii="Arial" w:cs="Arial" w:eastAsia="Arial" w:hAnsi="Arial"/>
          <w:b/>
          <w:bCs/>
          <w:sz w:val="22"/>
          <w:szCs w:val="22"/>
        </w:rPr>
        <w:t xml:space="preserve">Deliverable:</w:t>
      </w:r>
    </w:p>
    <w:p>
      <w:pPr>
        <w:spacing w:after="360"/>
      </w:pPr>
      <w:r>
        <w:rPr>
          <w:rFonts w:ascii="Arial" w:cs="Arial" w:eastAsia="Arial" w:hAnsi="Arial"/>
          <w:sz w:val="22"/>
          <w:szCs w:val="22"/>
        </w:rPr>
        <w:t xml:space="preserve">The working group will produce a consensus-driven set of research questions focused on the governance, policy, and ethical dimensions that must be addressed to ensure AI benefits all patients and communities served by emergency medicine.</w:t>
      </w:r>
    </w:p>
    <w:p>
      <w:pPr>
        <w:pBdr>
          <w:bottom w:val="single" w:color="CCCCCC" w:sz="4" w:space="8"/>
        </w:pBd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SAEM 2026 Consensus Conference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2026-03-16T14:38:19.637Z</dcterms:created>
  <dcterms:modified xsi:type="dcterms:W3CDTF">2026-03-16T14:38:19.637Z</dcterms:modified>
</cp:coreProperties>
</file>

<file path=docProps/custom.xml><?xml version="1.0" encoding="utf-8"?>
<Properties xmlns="http://schemas.openxmlformats.org/officeDocument/2006/custom-properties" xmlns:vt="http://schemas.openxmlformats.org/officeDocument/2006/docPropsVTypes"/>
</file>