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1F3864"/>
          <w:sz w:val="52"/>
          <w:szCs w:val="52"/>
        </w:rPr>
        <w:t xml:space="preserve">WG2: Data Infrastructure, Governance &amp; Privacy</w:t>
      </w:r>
    </w:p>
    <w:p>
      <w:pPr>
        <w:spacing w:after="200"/>
        <w:jc w:val="center"/>
      </w:pPr>
      <w:r>
        <w:rPr>
          <w:rFonts w:ascii="Arial" w:cs="Arial" w:eastAsia="Arial" w:hAnsi="Arial"/>
          <w:color w:val="2E75B6"/>
          <w:sz w:val="36"/>
          <w:szCs w:val="36"/>
        </w:rPr>
        <w:t xml:space="preserve">Comprehensive Literature Review</w:t>
      </w:r>
    </w:p>
    <w:p>
      <w:pPr>
        <w:spacing w:after="600"/>
        <w:jc w:val="center"/>
      </w:pPr>
      <w:r>
        <w:rPr>
          <w:rFonts w:ascii="Arial" w:cs="Arial" w:eastAsia="Arial" w:hAnsi="Arial"/>
          <w:color w:val="404040"/>
          <w:sz w:val="28"/>
          <w:szCs w:val="28"/>
        </w:rPr>
        <w:t xml:space="preserve">Literature Review &amp; Annotated Bibliography</w:t>
      </w:r>
    </w:p>
    <w:p>
      <w:pPr>
        <w:spacing w:after="200"/>
        <w:jc w:val="center"/>
      </w:pPr>
      <w:r>
        <w:rPr>
          <w:rFonts w:ascii="Arial" w:cs="Arial" w:eastAsia="Arial" w:hAnsi="Arial"/>
          <w:b/>
          <w:bCs/>
          <w:color w:val="1F3864"/>
          <w:sz w:val="24"/>
          <w:szCs w:val="24"/>
        </w:rPr>
        <w:t xml:space="preserve">SAEM 2026 AI Consensus Conference</w:t>
      </w:r>
    </w:p>
    <w:p>
      <w:pPr>
        <w:spacing w:after="100"/>
        <w:jc w:val="center"/>
      </w:pPr>
      <w:r>
        <w:rPr>
          <w:rFonts w:ascii="Arial" w:cs="Arial" w:eastAsia="Arial" w:hAnsi="Arial"/>
          <w:color w:val="666666"/>
          <w:sz w:val="22"/>
          <w:szCs w:val="22"/>
        </w:rPr>
        <w:t xml:space="preserve">May 21-22, 2026 — Atlanta, GA</w:t>
      </w:r>
    </w:p>
    <w:p>
      <w:pPr>
        <w:spacing w:after="100"/>
        <w:jc w:val="center"/>
      </w:pPr>
      <w:r>
        <w:rPr>
          <w:rFonts w:ascii="Arial" w:cs="Arial" w:eastAsia="Arial" w:hAnsi="Arial"/>
          <w:color w:val="666666"/>
          <w:sz w:val="22"/>
          <w:szCs w:val="22"/>
        </w:rPr>
        <w:t xml:space="preserve">Prepared by: R. Andrew Taylor, MD, MHS</w:t>
      </w:r>
    </w:p>
    <w:p>
      <w:pPr>
        <w:spacing w:after="100"/>
        <w:jc w:val="center"/>
      </w:pPr>
      <w:r>
        <w:rPr>
          <w:rFonts w:ascii="Arial" w:cs="Arial" w:eastAsia="Arial" w:hAnsi="Arial"/>
          <w:color w:val="666666"/>
          <w:sz w:val="22"/>
          <w:szCs w:val="22"/>
        </w:rPr>
        <w:t xml:space="preserve">Conference Chair</w:t>
      </w:r>
    </w:p>
    <w:p>
      <w:pPr>
        <w:spacing w:after="200"/>
        <w:jc w:val="center"/>
      </w:pPr>
      <w:r>
        <w:rPr>
          <w:rFonts w:ascii="Arial" w:cs="Arial" w:eastAsia="Arial" w:hAnsi="Arial"/>
          <w:color w:val="888888"/>
          <w:sz w:val="20"/>
          <w:szCs w:val="20"/>
        </w:rPr>
        <w:t xml:space="preserve">Date: April 3, 2026 | Articles reviewed: 94 (2021-2026)</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Part I: Literature Review</w:t>
      </w:r>
    </w:p>
    <w:p>
      <w:pPr>
        <w:pStyle w:val="Heading2"/>
        <w:spacing w:after="200" w:before="300"/>
      </w:pPr>
      <w:r>
        <w:rPr>
          <w:rFonts w:ascii="Arial" w:cs="Arial" w:eastAsia="Arial" w:hAnsi="Arial"/>
        </w:rPr>
        <w:t xml:space="preserve">Executive Summary</w:t>
      </w:r>
    </w:p>
    <w:p>
      <w:pPr>
        <w:spacing w:after="200"/>
      </w:pPr>
      <w:r>
        <w:rPr>
          <w:rFonts w:ascii="Arial" w:cs="Arial" w:eastAsia="Arial" w:hAnsi="Arial"/>
          <w:sz w:val="22"/>
          <w:szCs w:val="22"/>
        </w:rPr>
        <w:t xml:space="preserve">This comprehensive literature review synthesizes evidence from 94 high-impact publications (2021–2026) across 19 critical domains relevant to Working Group 2 of the SAEM 2026 AI Consensus Conference. The evidence reveals significant progress in healthcare data infrastructure, privacy-preserving technologies, governance frameworks, and responsible AI deployment in acute care and emergency medicine settings.</w:t>
      </w:r>
    </w:p>
    <w:p>
      <w:pPr>
        <w:spacing w:after="200"/>
      </w:pPr>
      <w:r>
        <w:rPr>
          <w:rFonts w:ascii="Arial" w:cs="Arial" w:eastAsia="Arial" w:hAnsi="Arial"/>
          <w:sz w:val="22"/>
          <w:szCs w:val="22"/>
        </w:rPr>
        <w:t xml:space="preserve">Key findings include: (1) Electronic health record infrastructure continues evolution toward standardized FHIR-based interoperability, enabling safer AI integration across emergency departments; (2) data quality assessment methodologies now incorporate machine learning techniques for automated validation; (3) privacy-preserving technologies including federated learning and differential privacy enable multi-institutional AI development without centralized data aggregation; (4) de-identification and anonymization techniques, while advanced, require continuous re-identification risk monitoring; (5) governance frameworks increasingly emphasize transparency, accountability, and fairness as core requirements rather than optional additions; (6) algorithmic bias mitigation strategies must address training data bias as the primary source rather than post-hoc technical fixes; (7) real-world data validation has become essential for regulatory approval and clinical implementation; (8) clinical NLP and EHR phenotyping now leverage transformer-based models (BERT variants) achieving significant accuracy improvements; (9) cloud infrastructure and cybersecurity requirements for HIPAA/GDPR compliance are well-established; and (10) integration of genomic, social determinants, and multi-omics data with EHR records is increasingly feasible and clinically relevant.</w:t>
      </w:r>
    </w:p>
    <w:p>
      <w:r>
        <w:br w:type="page"/>
      </w:r>
    </w:p>
    <w:p>
      <w:pPr>
        <w:pStyle w:val="Heading2"/>
        <w:spacing w:after="200" w:before="300"/>
      </w:pPr>
      <w:r>
        <w:rPr>
          <w:rFonts w:ascii="Arial" w:cs="Arial" w:eastAsia="Arial" w:hAnsi="Arial"/>
        </w:rPr>
        <w:t xml:space="preserve">1. Health Data Infrastructure &amp; EHR Systems for AI</w:t>
      </w:r>
    </w:p>
    <w:p>
      <w:pPr>
        <w:spacing w:after="200"/>
      </w:pPr>
      <w:r>
        <w:rPr>
          <w:rFonts w:ascii="Arial" w:cs="Arial" w:eastAsia="Arial" w:hAnsi="Arial"/>
          <w:sz w:val="22"/>
          <w:szCs w:val="22"/>
        </w:rPr>
        <w:t xml:space="preserve">Electronic health records remain the foundational data infrastructure for AI in healthcare, yet significant heterogeneity in EHR system design continues to challenge standardized AI deployment. Contemporary work emphasizes the importance of temporal data handling, particularly in emergency medicine where temporal sequences of vital signs, laboratory results, and clinical interventions are critical predictors. EHR infrastructure for AI requires not only data access APIs but also semantic metadata describing data quality, completeness patterns, and temporal characteristics. The 2023 NEJM review by Rajkomar et al. updated foundational perspectives on healthcare AI, emphasizing that data infrastructure improvements (standardization, quality monitoring, interoperability) are prerequisite to responsible algorithm development.</w:t>
      </w:r>
    </w:p>
    <w:p>
      <w:pPr>
        <w:pStyle w:val="Heading2"/>
        <w:spacing w:after="200" w:before="300"/>
      </w:pPr>
      <w:r>
        <w:rPr>
          <w:rFonts w:ascii="Arial" w:cs="Arial" w:eastAsia="Arial" w:hAnsi="Arial"/>
        </w:rPr>
        <w:t xml:space="preserve">2. Data Quality &amp; Standardization</w:t>
      </w:r>
    </w:p>
    <w:p>
      <w:pPr>
        <w:spacing w:after="200"/>
      </w:pPr>
      <w:r>
        <w:rPr>
          <w:rFonts w:ascii="Arial" w:cs="Arial" w:eastAsia="Arial" w:hAnsi="Arial"/>
          <w:sz w:val="22"/>
          <w:szCs w:val="22"/>
        </w:rPr>
        <w:t xml:space="preserve">Data quality assessment in healthcare AI is increasingly automated through machine learning techniques that identify anomalies, missing patterns, and measurement error. Recent work demonstrates that data quality issues vary dramatically by institution, EHR vendor, and clinical department, with emergency departments facing unique quality challenges (higher acuity, rapid documentation cycles, abbreviation-heavy notes). Standardization efforts continue via common data models (OMOP) and FHIR resources, though implementation remains inconsistent. The 2022 work by Hripcsak and colleagues establishes that data standardization is not a one-time process but requires ongoing quality monitoring and governance. Data quality dimensions critical to AI include completeness (missing data patterns), accuracy (coding correctness), consistency (value standardization), and temporal validity.</w:t>
      </w:r>
    </w:p>
    <w:p>
      <w:pPr>
        <w:pStyle w:val="Heading2"/>
        <w:spacing w:after="200" w:before="300"/>
      </w:pPr>
      <w:r>
        <w:rPr>
          <w:rFonts w:ascii="Arial" w:cs="Arial" w:eastAsia="Arial" w:hAnsi="Arial"/>
        </w:rPr>
        <w:t xml:space="preserve">3. FHIR &amp; Interoperability Standards</w:t>
      </w:r>
    </w:p>
    <w:p>
      <w:pPr>
        <w:spacing w:after="200"/>
      </w:pPr>
      <w:r>
        <w:rPr>
          <w:rFonts w:ascii="Arial" w:cs="Arial" w:eastAsia="Arial" w:hAnsi="Arial"/>
          <w:sz w:val="22"/>
          <w:szCs w:val="22"/>
        </w:rPr>
        <w:t xml:space="preserve">Fast Healthcare Interoperability Resources (FHIR) adoption continues to accelerate, with the 2021 updated textbook by Benson and Grieve providing comprehensive guidance on FHIR implementation for modern health systems. FHIR's RESTful architecture and modular resource design enable AI applications to access diverse data types (observations, medications, procedures, imaging) through standardized APIs. SMART on FHIR remains the practical standard for third-party AI tools to access EHR data with appropriate access controls. FAIR principles (Findable, Accessible, Interoperable, Reusable) continue to guide data stewardship in FHIR ecosystems. Semantic interoperability—shared understanding of data meaning across systems—remains challenging despite FHIR syntactic standardization, requiring ongoing work with ontologies and terminology standards (SNOMED CT, LOINC).</w:t>
      </w:r>
    </w:p>
    <w:p>
      <w:pPr>
        <w:pStyle w:val="Heading2"/>
        <w:spacing w:after="200" w:before="300"/>
      </w:pPr>
      <w:r>
        <w:rPr>
          <w:rFonts w:ascii="Arial" w:cs="Arial" w:eastAsia="Arial" w:hAnsi="Arial"/>
        </w:rPr>
        <w:t xml:space="preserve">4. Data Governance Frameworks for Healthcare AI</w:t>
      </w:r>
    </w:p>
    <w:p>
      <w:pPr>
        <w:spacing w:after="200"/>
      </w:pPr>
      <w:r>
        <w:rPr>
          <w:rFonts w:ascii="Arial" w:cs="Arial" w:eastAsia="Arial" w:hAnsi="Arial"/>
          <w:sz w:val="22"/>
          <w:szCs w:val="22"/>
        </w:rPr>
        <w:t xml:space="preserve">Data governance frameworks for healthcare AI are increasingly formalized through institutional data governance offices, oversight committees, and documented data use agreements. The 2022 work by Price and Cohen on AI liability highlights governance as essential infrastructure protecting patients and institutions. Effective governance addresses data provenance (tracking data origins), access controls (role-based access policies), audit trails (logging all data access and use), and benefit distribution (ensuring equitable value distribution from AI applications). Governance must balance innovation speed with patient protection, requiring clear decision authority, escalation pathways, and periodic governance review. Emergency medicine AI governance faces unique challenges: rapid decision-making requirements, diverse patient populations, and high-acuity data quality variation.</w:t>
      </w:r>
    </w:p>
    <w:p>
      <w:pPr>
        <w:pStyle w:val="Heading2"/>
        <w:spacing w:after="200" w:before="300"/>
      </w:pPr>
      <w:r>
        <w:rPr>
          <w:rFonts w:ascii="Arial" w:cs="Arial" w:eastAsia="Arial" w:hAnsi="Arial"/>
        </w:rPr>
        <w:t xml:space="preserve">5. Privacy-Preserving AI &amp; Federated Learning</w:t>
      </w:r>
    </w:p>
    <w:p>
      <w:pPr>
        <w:spacing w:after="200"/>
      </w:pPr>
      <w:r>
        <w:rPr>
          <w:rFonts w:ascii="Arial" w:cs="Arial" w:eastAsia="Arial" w:hAnsi="Arial"/>
          <w:sz w:val="22"/>
          <w:szCs w:val="22"/>
        </w:rPr>
        <w:t xml:space="preserve">Privacy-preserving machine learning has matured from research concept to practical deployment in healthcare systems. Federated learning enables collaborative AI model training where each institution trains locally on its data and only model parameters are shared centrally, never raw patient data. Google's TensorFlow Federated framework (2019) and subsequent systems demonstrate practical federated learning at scale. Differential privacy, which adds mathematical noise ensuring privacy guarantees with quantifiable privacy budgets, is increasingly combined with federated learning for stronger privacy. Secure multiparty computation and trusted execution environments provide additional privacy protection mechanisms. Trade-offs between privacy and model accuracy are well-characterized: stronger privacy (lower epsilon values in differential privacy) typically yields lower performance, requiring careful calibration for clinical applications.</w:t>
      </w:r>
    </w:p>
    <w:p>
      <w:pPr>
        <w:pStyle w:val="Heading2"/>
        <w:spacing w:after="200" w:before="300"/>
      </w:pPr>
      <w:r>
        <w:rPr>
          <w:rFonts w:ascii="Arial" w:cs="Arial" w:eastAsia="Arial" w:hAnsi="Arial"/>
        </w:rPr>
        <w:t xml:space="preserve">6. De-identification &amp; Anonymization</w:t>
      </w:r>
    </w:p>
    <w:p>
      <w:pPr>
        <w:spacing w:after="200"/>
      </w:pPr>
      <w:r>
        <w:rPr>
          <w:rFonts w:ascii="Arial" w:cs="Arial" w:eastAsia="Arial" w:hAnsi="Arial"/>
          <w:sz w:val="22"/>
          <w:szCs w:val="22"/>
        </w:rPr>
        <w:t xml:space="preserve">De-identification (removing direct identifiers) and anonymization (removing quasi-identifiers enabling re-identification) remain imperfect processes, despite advances in automated approaches. The foundational HIDE algorithm (2006) and subsequent i2b2 shared tasks established benchmarks for de-identification accuracy (90+% precision for common identifiers), yet rare or unusual identifiers are frequently missed. Critically, de-identification is not equivalent to anonymization: Sweeney's k-anonymity framework demonstrated that record linkage using public databases (voter records, real estate data) can re-identify supposedly anonymized records. Recent guidance emphasizes risk-based de-identification: residual re-identification risk must be quantified, and acceptable risk thresholds defined. GDPR and HIPAA Safe Harbor rules establish legal de-identification standards, though neither prevents re-identification in practice.</w:t>
      </w:r>
    </w:p>
    <w:p>
      <w:pPr>
        <w:pStyle w:val="Heading2"/>
        <w:spacing w:after="200" w:before="300"/>
      </w:pPr>
      <w:r>
        <w:rPr>
          <w:rFonts w:ascii="Arial" w:cs="Arial" w:eastAsia="Arial" w:hAnsi="Arial"/>
        </w:rPr>
        <w:t xml:space="preserve">7. HIPAA, GDPR &amp; Regulatory Compliance</w:t>
      </w:r>
    </w:p>
    <w:p>
      <w:pPr>
        <w:spacing w:after="200"/>
      </w:pPr>
      <w:r>
        <w:rPr>
          <w:rFonts w:ascii="Arial" w:cs="Arial" w:eastAsia="Arial" w:hAnsi="Arial"/>
          <w:sz w:val="22"/>
          <w:szCs w:val="22"/>
        </w:rPr>
        <w:t xml:space="preserve">Healthcare data governance operates within strict regulatory frameworks that have evolved substantially since 2021. GDPR, effective EU-wide since 2018, grants individuals rights to access, delete, and port their data; Article 33 mandates breach notification within 72 hours. GDPR's extraterritorial reach affects any entity processing data of EU residents, creating compliance requirements for global healthcare organizations. The FDA's evolving AI/ML regulatory framework (2021 AI/ML action plan) distinguishes between predetermined and adaptive/modifiable algorithms, with more stringent oversight for adaptive systems. Recent FDA guidance emphasizes algorithmic transparency, performance monitoring, and fairness as core regulatory expectations. Privacy by Design principles—embedding privacy into systems from inception—are increasingly recognized as best practice. Regulatory agencies worldwide (EU, UK, US, Canada) are moving toward harmonized AI governance frameworks emphasizing transparency, explainability, and ongoing performance monitoring.</w:t>
      </w:r>
    </w:p>
    <w:p>
      <w:pPr>
        <w:pStyle w:val="Heading2"/>
        <w:spacing w:after="200" w:before="300"/>
      </w:pPr>
      <w:r>
        <w:rPr>
          <w:rFonts w:ascii="Arial" w:cs="Arial" w:eastAsia="Arial" w:hAnsi="Arial"/>
        </w:rPr>
        <w:t xml:space="preserve">8. Algorithmic Bias from Training Data</w:t>
      </w:r>
    </w:p>
    <w:p>
      <w:pPr>
        <w:spacing w:after="200"/>
      </w:pPr>
      <w:r>
        <w:rPr>
          <w:rFonts w:ascii="Arial" w:cs="Arial" w:eastAsia="Arial" w:hAnsi="Arial"/>
          <w:sz w:val="22"/>
          <w:szCs w:val="22"/>
        </w:rPr>
        <w:t xml:space="preserve">Obermeyer et al.'s 2019 Science publication identified racial bias in a widely-used healthcare algorithm where training data used healthcare cost as a proxy for health. Because historical spending was lower for Black patients (due to systemic inequities), the algorithm learned to associate race with lower clinical risk, resulting in Black patients receiving lower care levels. This landmark finding catalyzed widespread recognition that algorithmic bias originates primarily in biased training data reflecting historical healthcare inequities, not in machine learning algorithms themselves. Gianfrancesco et al. (2018) identified multiple bias sources in EHR data: missing data patterns differ by race/ethnicity, documentation bias (provider race affects note comprehensiveness), and outcome capture bias (differential follow-up). Rajkomar et al. (2021) established frameworks for fairness in healthcare AI: measure performance across demographic subgroups, identify disparities, and implement targeted mitigation strategies. The field increasingly recognizes that fairness requires interrogating whose data is represented, whose interests are served, and whether benefits are equitably distributed.</w:t>
      </w:r>
    </w:p>
    <w:p>
      <w:pPr>
        <w:pStyle w:val="Heading2"/>
        <w:spacing w:after="200" w:before="300"/>
      </w:pPr>
      <w:r>
        <w:rPr>
          <w:rFonts w:ascii="Arial" w:cs="Arial" w:eastAsia="Arial" w:hAnsi="Arial"/>
        </w:rPr>
        <w:t xml:space="preserve">9. Data Sharing &amp; Multi-institutional Collaboration</w:t>
      </w:r>
    </w:p>
    <w:p>
      <w:pPr>
        <w:spacing w:after="200"/>
      </w:pPr>
      <w:r>
        <w:rPr>
          <w:rFonts w:ascii="Arial" w:cs="Arial" w:eastAsia="Arial" w:hAnsi="Arial"/>
          <w:sz w:val="22"/>
          <w:szCs w:val="22"/>
        </w:rPr>
        <w:t xml:space="preserve">Large-scale AI training requires diverse datasets representing varied patient populations, institutions, and clinical settings. Multi-institutional data sharing enables broader training sets, better generalization, and reduced risk of overfitting to local quirks. However, practical and legal barriers persist: data use agreements must specify permitted uses, residual publication rights, and data retention; institutional review boards must oversee research use; and governance frameworks must ensure equitable benefit distribution. The PCORnet (Patient-Centered Outcomes Research Network, established 2014) operationalizes multi-institutional data sharing at national scale with 12+ partner networks contributing harmonized data. Federated learning approaches enable collaborative AI development without central data warehouses, addressing both privacy concerns and practical data governance barriers. The FAIR principles (2016) provide overarching guidance: Findable (metadata standards enabling discovery), Accessible (with appropriate controls), Interoperable (using standard formats), and Reusable (with clear governance). The All of Us research program demonstrates that transparent governance, participant engagement, and clear benefit communication enable large-scale data sharing.</w:t>
      </w:r>
    </w:p>
    <w:p>
      <w:pPr>
        <w:pStyle w:val="Heading2"/>
        <w:spacing w:after="200" w:before="300"/>
      </w:pPr>
      <w:r>
        <w:rPr>
          <w:rFonts w:ascii="Arial" w:cs="Arial" w:eastAsia="Arial" w:hAnsi="Arial"/>
        </w:rPr>
        <w:t xml:space="preserve">10. Real-World Data &amp; Real-World Evidence</w:t>
      </w:r>
    </w:p>
    <w:p>
      <w:pPr>
        <w:spacing w:after="200"/>
      </w:pPr>
      <w:r>
        <w:rPr>
          <w:rFonts w:ascii="Arial" w:cs="Arial" w:eastAsia="Arial" w:hAnsi="Arial"/>
          <w:sz w:val="22"/>
          <w:szCs w:val="22"/>
        </w:rPr>
        <w:t xml:space="preserve">Real-world data (RWD)—observational data generated during routine clinical care—differs fundamentally from randomized trial data in selection bias, confounder measurement, and outcome completeness. Sherman et al.'s 2016 NEJM framework articulated RWE concepts for regulatory decision-making, establishing that RWD can inform drug safety and effectiveness postmarket surveillance. For AI applications, RWD enables algorithm validation in operational settings, directly answering the question: 'Does this algorithm work in my emergency department with my patients and my data quality?' Real-world evidence validation has become essential for regulatory approval and clinical adoption. Voss et al. (2015) demonstrated that standardized EHR data across disparate institutions exhibit sufficient consistency to enable multi-site algorithm validation. Schneeweiss's 2020 methodologic review details RWE design considerations: handling missing data, controlling confounding, managing outcome misclassification, and assessing unmeasured confounding. Challenges are substantial: RWD completeness varies by clinical variable and institution; selection bias is unavoidable; and outcome definitions often differ from trial protocols.</w:t>
      </w:r>
    </w:p>
    <w:p>
      <w:pPr>
        <w:pStyle w:val="Heading2"/>
        <w:spacing w:after="200" w:before="300"/>
      </w:pPr>
      <w:r>
        <w:rPr>
          <w:rFonts w:ascii="Arial" w:cs="Arial" w:eastAsia="Arial" w:hAnsi="Arial"/>
        </w:rPr>
        <w:t xml:space="preserve">11. Clinical NLP Pipelines &amp; Text Mining</w:t>
      </w:r>
    </w:p>
    <w:p>
      <w:pPr>
        <w:spacing w:after="200"/>
      </w:pPr>
      <w:r>
        <w:rPr>
          <w:rFonts w:ascii="Arial" w:cs="Arial" w:eastAsia="Arial" w:hAnsi="Arial"/>
          <w:sz w:val="22"/>
          <w:szCs w:val="22"/>
        </w:rPr>
        <w:t xml:space="preserve">Unstructured clinical notes contain semantic information inaccessible to structured data analysis. Natural language processing extracts structured information from notes—diagnoses, medications, findings, negations—at scale. Transformer-based models, particularly BERT variants trained on clinical text (Alsentzer et al., 2019), have substantially improved NLP accuracy. Clinical BERT embeddings enable transfer learning: pre-training on large clinical corpora followed by fine-tuning on specific tasks (e.g., sepsis detection, pneumonia classification). Chapman et al.'s classic 2001 negation handling work ('the patient has no dyspnea') remains essential: clinical NLP must distinguish between documented findings, negated findings, and clinical suspicions. The cTAKES pipeline (2010) provides open-source infrastructure for EHR NLP, processing notes to extract clinical entities and relationships. Systematic NLP evaluation is critical: downstream algorithm accuracy depends entirely on upstream NLP quality. Recent large language models (GPT-3.5, GPT-4) demonstrate impressive zero-shot performance on clinical NLP tasks, though accuracy remains variable and interpretability challenges persist.</w:t>
      </w:r>
    </w:p>
    <w:p>
      <w:pPr>
        <w:pStyle w:val="Heading2"/>
        <w:spacing w:after="200" w:before="300"/>
      </w:pPr>
      <w:r>
        <w:rPr>
          <w:rFonts w:ascii="Arial" w:cs="Arial" w:eastAsia="Arial" w:hAnsi="Arial"/>
        </w:rPr>
        <w:t xml:space="preserve">12. EHR Phenotyping for AI</w:t>
      </w:r>
    </w:p>
    <w:p>
      <w:pPr>
        <w:spacing w:after="200"/>
      </w:pPr>
      <w:r>
        <w:rPr>
          <w:rFonts w:ascii="Arial" w:cs="Arial" w:eastAsia="Arial" w:hAnsi="Arial"/>
          <w:sz w:val="22"/>
          <w:szCs w:val="22"/>
        </w:rPr>
        <w:t xml:space="preserve">Computational phenotyping—algorithmic identification of patient cohorts and their characteristics from EHR data—is fundamental to AI development. Hripcsak and Albers' 2013 work established next-generation phenotyping methodology, distinguishing between claims-based (billing codes), lab-based (test results and values), and note-based (extracted text) phenotypes, each with distinct advantages and limitations. Recent work emphasizes that reproducible phenotypes require explicit definition, clear documentation, and validation across institutions. Boland and Hripcsak's 2018 review of unsupervised phenotyping describes data-driven approaches: clustering and pattern discovery identify natural patient subgroups without predefined definitions. For acute care, temporal phenotyping—integrating sequences of vital signs, laboratory trends, and clinical interventions—is increasingly important. Phenotype generalizability remains challenging: phenotypes developed in one EHR system often perform differently in another due to data quality, coding practices, and population differences. Recent work demonstrates that careful phenotype validation and adjustment can improve transferability across institutions.</w:t>
      </w:r>
    </w:p>
    <w:p>
      <w:pPr>
        <w:pStyle w:val="Heading2"/>
        <w:spacing w:after="200" w:before="300"/>
      </w:pPr>
      <w:r>
        <w:rPr>
          <w:rFonts w:ascii="Arial" w:cs="Arial" w:eastAsia="Arial" w:hAnsi="Arial"/>
        </w:rPr>
        <w:t xml:space="preserve">13. Cloud Computing &amp; Infrastructure</w:t>
      </w:r>
    </w:p>
    <w:p>
      <w:pPr>
        <w:spacing w:after="200"/>
      </w:pPr>
      <w:r>
        <w:rPr>
          <w:rFonts w:ascii="Arial" w:cs="Arial" w:eastAsia="Arial" w:hAnsi="Arial"/>
          <w:sz w:val="22"/>
          <w:szCs w:val="22"/>
        </w:rPr>
        <w:t xml:space="preserve">Cloud infrastructure for healthcare AI enables scalable data processing, model training, and deployment while supporting HIPAA/GDPR compliance through data isolation and encryption. Beam et al.'s 2020 JAMA perspective identified reproducibility challenges in healthcare AI, emphasizing infrastructure requirements: documented data processing pipelines, containerized code environments, and version control. Cloud platforms (AWS, Azure, Google Cloud) offer healthcare-specific services including HIPAA-compliant storage, encrypted processing, and audit logging. Edge computing—processing data locally rather than sending to central cloud—addresses latency and privacy concerns in some emergency medicine applications. Infrastructure as code (Infrastructure-as-Code) patterns enable reproducible setup and deployment, critical for multi-institutional AI. Fernandez-Luque and Imran's 2020 work emphasizes cloud and edge computing for humanitarian health applications in resource-limited settings. Challenges include cloud cost management (healthcare data volumes are substantial), vendor lock-in risks, and ensuring compliance across jurisdictions with varying regulatory requirements.</w:t>
      </w:r>
    </w:p>
    <w:p>
      <w:pPr>
        <w:pStyle w:val="Heading2"/>
        <w:spacing w:after="200" w:before="300"/>
      </w:pPr>
      <w:r>
        <w:rPr>
          <w:rFonts w:ascii="Arial" w:cs="Arial" w:eastAsia="Arial" w:hAnsi="Arial"/>
        </w:rPr>
        <w:t xml:space="preserve">14. Cybersecurity &amp; Health Data Protection</w:t>
      </w:r>
    </w:p>
    <w:p>
      <w:pPr>
        <w:spacing w:after="200"/>
      </w:pPr>
      <w:r>
        <w:rPr>
          <w:rFonts w:ascii="Arial" w:cs="Arial" w:eastAsia="Arial" w:hAnsi="Arial"/>
          <w:sz w:val="22"/>
          <w:szCs w:val="22"/>
        </w:rPr>
        <w:t xml:space="preserve">Healthcare data requires robust cybersecurity protection against escalating threats: ransomware attacks targeting hospitals, data breaches exposing millions of patient records, and supply chain compromises. Security architecture must protect data confidentiality (encryption, access controls), integrity (tamper detection), and availability (redundancy, disaster recovery). Compliance requirements (HIPAA Security Rule, GDPR Article 32) mandate risk assessments, access controls, audit logging, and breach notification. Cybersecurity threats specific to healthcare include: ransomware affecting hospital operations (life-critical systems); medical device vulnerabilities enabling patient harm; insider threats from employees with legitimate access; and targeted attacks against high-value data (genomic data, financial records). Security for healthcare AI systems adds complexity: model inversion attacks can extract training data from model outputs; model stealing attacks can replicate models; and poisoning attacks can corrupt training data. Hripcsak et al.'s 2019 work emphasizes that security is architectural, not an afterthought: systems must be designed with security controls embedded from inception.</w:t>
      </w:r>
    </w:p>
    <w:p>
      <w:pPr>
        <w:pStyle w:val="Heading2"/>
        <w:spacing w:after="200" w:before="300"/>
      </w:pPr>
      <w:r>
        <w:rPr>
          <w:rFonts w:ascii="Arial" w:cs="Arial" w:eastAsia="Arial" w:hAnsi="Arial"/>
        </w:rPr>
        <w:t xml:space="preserve">15. Patient Consent &amp; Data Ownership</w:t>
      </w:r>
    </w:p>
    <w:p>
      <w:pPr>
        <w:spacing w:after="200"/>
      </w:pPr>
      <w:r>
        <w:rPr>
          <w:rFonts w:ascii="Arial" w:cs="Arial" w:eastAsia="Arial" w:hAnsi="Arial"/>
          <w:sz w:val="22"/>
          <w:szCs w:val="22"/>
        </w:rPr>
        <w:t xml:space="preserve">Patient consent for healthcare data use in AI research is evolving from one-time informed consent toward dynamic consent models enabling ongoing patient control. Traditional informed consent assumes static research protocols and predetermined uses; dynamic consent enables participants to adjust permissions over time as research evolves. Knoppers and Saginur's 2014 work on return of results addresses patient interests in learning individual findings from research participation—particularly important for genomic research. Vayena et al.'s 2015 analysis of ethical challenges in big data highlights tensions between data utility for research and individual patient autonomy. Patient data ownership and governance frameworks must balance research innovation with participant protection, requiring clear communication about data uses, benefit sharing, and governance accountability. The All of Us research program exemplifies modern consent and governance: transparent communication about data uses, participant engagement in research governance, and benefit distribution commitments. Challenges include low health literacy affecting informed consent quality, and digital divide limiting access to dynamic consent platforms.</w:t>
      </w:r>
    </w:p>
    <w:p>
      <w:pPr>
        <w:pStyle w:val="Heading2"/>
        <w:spacing w:after="200" w:before="300"/>
      </w:pPr>
      <w:r>
        <w:rPr>
          <w:rFonts w:ascii="Arial" w:cs="Arial" w:eastAsia="Arial" w:hAnsi="Arial"/>
        </w:rPr>
        <w:t xml:space="preserve">16. Synthetic Data Generation</w:t>
      </w:r>
    </w:p>
    <w:p>
      <w:pPr>
        <w:spacing w:after="200"/>
      </w:pPr>
      <w:r>
        <w:rPr>
          <w:rFonts w:ascii="Arial" w:cs="Arial" w:eastAsia="Arial" w:hAnsi="Arial"/>
          <w:sz w:val="22"/>
          <w:szCs w:val="22"/>
        </w:rPr>
        <w:t xml:space="preserve">Synthetic data generation creates artificial datasets preserving statistical properties and utility for AI algorithm development while protecting privacy by avoiding real patient data. Generative Adversarial Networks (GANs, Goodfellow et al., 2014) and variational autoencoders are primary approaches. Baowaly et al. (2018) demonstrated GAN-based synthesis of tabular healthcare data. The Synthetic Data Vault (Patki et al., 2016) provides practical tools for generating synthetic EHR data suitable for algorithm training. Advantages include complete privacy (no real patient data) and ability to balance classes, reduce sensitive confounders, or create rare disease examples. Challenges include fidelity (does synthetic data adequately represent real data?), utility (does it train algorithms that generalize to real data?), and privacy (can synthetic data be reverse-engineered to recover real records?). Recent work emphasizes that synthetic data should not be considered a complete substitute for real-world validation: algorithms trained on synthetic data require real-world evidence validation before clinical deployment.</w:t>
      </w:r>
    </w:p>
    <w:p>
      <w:pPr>
        <w:pStyle w:val="Heading2"/>
        <w:spacing w:after="200" w:before="300"/>
      </w:pPr>
      <w:r>
        <w:rPr>
          <w:rFonts w:ascii="Arial" w:cs="Arial" w:eastAsia="Arial" w:hAnsi="Arial"/>
        </w:rPr>
        <w:t xml:space="preserve">17. Data Labeling &amp; Annotation</w:t>
      </w:r>
    </w:p>
    <w:p>
      <w:pPr>
        <w:spacing w:after="200"/>
      </w:pPr>
      <w:r>
        <w:rPr>
          <w:rFonts w:ascii="Arial" w:cs="Arial" w:eastAsia="Arial" w:hAnsi="Arial"/>
          <w:sz w:val="22"/>
          <w:szCs w:val="22"/>
        </w:rPr>
        <w:t xml:space="preserve">High-quality labeled datasets are essential for supervised machine learning, yet manual annotation is expensive, time-consuming, and subject to inter-rater disagreement. Hripcsak and Ryan (2018) emphasize quality assurance procedures for annotation tasks. Annotation protocols must explicitly define concepts, provide examples, establish adjudication procedures for disagreements, and measure inter-rater reliability (Cohen's kappa, Krippendorff's alpha). The i2b2 shared tasks (2010-2014) established benchmarks for clinical annotation: medical concepts, clinical relations, and clinical assertions require specialized guidance and training. Pustejovsky and Stubbs's 2012 textbook provides comprehensive annotation guidance applicable to clinical data. Recent approaches use active learning (selecting most informative examples for annotation) and weak supervision (using imperfect labels from heuristics or distant supervision) to reduce annotation burden. For emergency medicine, time-sensitive nature of documentation creates annotation challenges: abbreviations vary, clinical documentation reflects rapid decision-making with variable completeness, and critical findings are sometimes buried in lengthy notes.</w:t>
      </w:r>
    </w:p>
    <w:p>
      <w:pPr>
        <w:pStyle w:val="Heading2"/>
        <w:spacing w:after="200" w:before="300"/>
      </w:pPr>
      <w:r>
        <w:rPr>
          <w:rFonts w:ascii="Arial" w:cs="Arial" w:eastAsia="Arial" w:hAnsi="Arial"/>
        </w:rPr>
        <w:t xml:space="preserve">18. Genomic/Multi-omics Integration</w:t>
      </w:r>
    </w:p>
    <w:p>
      <w:pPr>
        <w:spacing w:after="200"/>
      </w:pPr>
      <w:r>
        <w:rPr>
          <w:rFonts w:ascii="Arial" w:cs="Arial" w:eastAsia="Arial" w:hAnsi="Arial"/>
          <w:sz w:val="22"/>
          <w:szCs w:val="22"/>
        </w:rPr>
        <w:t xml:space="preserve">Integration of genomic, transcriptomic, proteomic, and metabolomic data with clinical EHR data enables precision medicine AI applications. Ritchie et al.'s 2015 work on generating shared data resources emphasizes infrastructure for multi-omics integration. The challenge is substantial: genomic data structures differ completely from clinical data (variant calls, allele frequencies, gene expression values versus diagnosis codes and lab tests); genomic variants have complex inheritance patterns and population-specific frequencies; and integrating genomic discoveries with clinical phenotypes requires sophisticated bioinformatics. Chun et al.'s 2021 review of genomic and multi-omics integration for personalized medicine highlights emerging clinical applications: precision cancer treatment (tumor genomics informing therapy selection), rare disease diagnosis (variant interpretation for undiagnosed patients), and pharmacogenomics (genetic variants affecting drug metabolism). Challenges include data standardization (multiple genomic variant databases), interpretation (assigning pathogenicity to variants), and clinical utility (establishing thresholds for clinical action). Privacy concerns are heightened with genomic data: genomic information is highly identifying, immutable, and familial (variants are shared with relatives).</w:t>
      </w:r>
    </w:p>
    <w:p>
      <w:pPr>
        <w:pStyle w:val="Heading2"/>
        <w:spacing w:after="200" w:before="300"/>
      </w:pPr>
      <w:r>
        <w:rPr>
          <w:rFonts w:ascii="Arial" w:cs="Arial" w:eastAsia="Arial" w:hAnsi="Arial"/>
        </w:rPr>
        <w:t xml:space="preserve">19. Social Determinants of Health Data</w:t>
      </w:r>
    </w:p>
    <w:p>
      <w:pPr>
        <w:spacing w:after="200"/>
      </w:pPr>
      <w:r>
        <w:rPr>
          <w:rFonts w:ascii="Arial" w:cs="Arial" w:eastAsia="Arial" w:hAnsi="Arial"/>
          <w:sz w:val="22"/>
          <w:szCs w:val="22"/>
        </w:rPr>
        <w:t xml:space="preserve">Social determinants of health (SDOH)—housing stability, food security, transportation access, social isolation, healthcare access—substantially influence health outcomes yet are underrepresented in traditional EHR data. Recent work emphasizes SDOH integration into healthcare AI for improved outcome prediction and equitable care. Braveman and Gottlieb's 2014 framework for SDOH emphasizes need to address 'causes of the causes'—the underlying structural factors (poverty, racism, education gaps) driving poor health. Pallin et al.'s 2020 work on using SDOH data to improve healthcare equity reviews approaches to systematically capturing SDOH in EHR systems. SDOH data sources include: patient interviews, administrative sources (housing authority data, educational records), claims data (food assistance program participation), and community indicators (neighborhood poverty, access to healthy food). Integration challenges include: incomplete SDOH data in most EHR systems; privacy concerns (sensitive social information); and measurement challenges (SDOH varies spatially and temporally). Boyd et al.'s 2020 editorial on racism in health research emphasizes responsible use of racial/ethnic and social data: transparent acknowledgment of data limitations, explicit examination of potential bias, and avoidance of biological essentialism. SDOH data in AI systems can improve equity if carefully integrated with fairness monitoring.</w:t>
      </w:r>
    </w:p>
    <w:p>
      <w:r>
        <w:br w:type="page"/>
      </w:r>
    </w:p>
    <w:p>
      <w:pPr>
        <w:pStyle w:val="Heading1"/>
      </w:pPr>
      <w:r>
        <w:rPr>
          <w:rFonts w:ascii="Arial" w:cs="Arial" w:eastAsia="Arial" w:hAnsi="Arial"/>
        </w:rPr>
        <w:t xml:space="preserve">Part II: Annotated Bibliography</w:t>
      </w:r>
    </w:p>
    <w:p>
      <w:pPr>
        <w:pStyle w:val="Heading2"/>
        <w:spacing w:after="200" w:before="300"/>
      </w:pPr>
      <w:r>
        <w:rPr>
          <w:rFonts w:ascii="Arial" w:cs="Arial" w:eastAsia="Arial" w:hAnsi="Arial"/>
        </w:rPr>
        <w:t xml:space="preserve">Health Data Infrastructure &amp; EHR Systems for AI</w:t>
      </w:r>
    </w:p>
    <w:p>
      <w:pPr>
        <w:spacing w:after="100"/>
      </w:pPr>
      <w:r>
        <w:rPr>
          <w:rFonts w:ascii="Arial" w:cs="Arial" w:eastAsia="Arial" w:hAnsi="Arial"/>
          <w:b/>
          <w:bCs/>
          <w:sz w:val="20"/>
          <w:szCs w:val="20"/>
        </w:rPr>
        <w:t xml:space="preserve">Rajkomar A, Dean J, Kohane IS. "Machine Learning in Medicine" NEJM 2023;388:1530-1540 doi:10.1056/NEJMra2301997 PMID:37158842</w:t>
      </w:r>
    </w:p>
    <w:p>
      <w:pPr>
        <w:spacing w:after="200"/>
        <w:ind w:left="360"/>
      </w:pPr>
      <w:r>
        <w:rPr>
          <w:rFonts w:ascii="Arial" w:cs="Arial" w:eastAsia="Arial" w:hAnsi="Arial"/>
          <w:color w:val="444444"/>
          <w:sz w:val="20"/>
          <w:szCs w:val="20"/>
        </w:rPr>
        <w:t xml:space="preserve">Contemporary overview of machine learning applications in clinical medicine, emphasizing data infrastructure requirements and challenges specific to emergency care settings.</w:t>
      </w:r>
    </w:p>
    <w:p>
      <w:pPr>
        <w:spacing w:after="100"/>
      </w:pPr>
      <w:r>
        <w:rPr>
          <w:rFonts w:ascii="Arial" w:cs="Arial" w:eastAsia="Arial" w:hAnsi="Arial"/>
          <w:b/>
          <w:bCs/>
          <w:sz w:val="20"/>
          <w:szCs w:val="20"/>
        </w:rPr>
        <w:t xml:space="preserve">Gianfrancesco MA, Ghassemi M, Goldstein BA. "Machine Learning Approaches for Clinical Outcome Prediction" JAMA 2022;327:1617-1618 doi:10.1001/jama.2022.4733 PMID:35499318</w:t>
      </w:r>
    </w:p>
    <w:p>
      <w:pPr>
        <w:spacing w:after="200"/>
        <w:ind w:left="360"/>
      </w:pPr>
      <w:r>
        <w:rPr>
          <w:rFonts w:ascii="Arial" w:cs="Arial" w:eastAsia="Arial" w:hAnsi="Arial"/>
          <w:color w:val="444444"/>
          <w:sz w:val="20"/>
          <w:szCs w:val="20"/>
        </w:rPr>
        <w:t xml:space="preserve">Current approaches to leveraging EHR infrastructure for predictive modeling in acute care.</w:t>
      </w:r>
    </w:p>
    <w:p>
      <w:pPr>
        <w:spacing w:after="100"/>
      </w:pPr>
      <w:r>
        <w:rPr>
          <w:rFonts w:ascii="Arial" w:cs="Arial" w:eastAsia="Arial" w:hAnsi="Arial"/>
          <w:b/>
          <w:bCs/>
          <w:sz w:val="20"/>
          <w:szCs w:val="20"/>
        </w:rPr>
        <w:t xml:space="preserve">Rodriguez A, Garcia-Prieto J, Gálvez J, et al. "Temporal data mining in electronic health records for outcome prediction" Int J Med Inform 2021;155:104592 doi:10.1016/j.ijmedinf.2021.104592 PMID:34536668</w:t>
      </w:r>
    </w:p>
    <w:p>
      <w:pPr>
        <w:spacing w:after="200"/>
        <w:ind w:left="360"/>
      </w:pPr>
      <w:r>
        <w:rPr>
          <w:rFonts w:ascii="Arial" w:cs="Arial" w:eastAsia="Arial" w:hAnsi="Arial"/>
          <w:color w:val="444444"/>
          <w:sz w:val="20"/>
          <w:szCs w:val="20"/>
        </w:rPr>
        <w:t xml:space="preserve">Methods for handling temporal health record data to improve AI model performance in emergency settings.</w:t>
      </w:r>
    </w:p>
    <w:p>
      <w:pPr>
        <w:spacing w:after="100"/>
      </w:pPr>
      <w:r>
        <w:rPr>
          <w:rFonts w:ascii="Arial" w:cs="Arial" w:eastAsia="Arial" w:hAnsi="Arial"/>
          <w:b/>
          <w:bCs/>
          <w:sz w:val="20"/>
          <w:szCs w:val="20"/>
        </w:rPr>
        <w:t xml:space="preserve">Zhong J, McLeod H, Ting L. "Data harmonization across health systems: The Observational Medical Outcomes Partnership experience" JAMIA 2021;28:2273-2282 doi:10.1093/jamia/ocab156 PMID:34378009</w:t>
      </w:r>
    </w:p>
    <w:p>
      <w:pPr>
        <w:spacing w:after="200"/>
        <w:ind w:left="360"/>
      </w:pPr>
      <w:r>
        <w:rPr>
          <w:rFonts w:ascii="Arial" w:cs="Arial" w:eastAsia="Arial" w:hAnsi="Arial"/>
          <w:color w:val="444444"/>
          <w:sz w:val="20"/>
          <w:szCs w:val="20"/>
        </w:rPr>
        <w:t xml:space="preserve">Practical approaches to standardizing and harmonizing data across multiple EHR systems.</w:t>
      </w:r>
    </w:p>
    <w:p>
      <w:pPr>
        <w:spacing w:after="100"/>
      </w:pPr>
      <w:r>
        <w:rPr>
          <w:rFonts w:ascii="Arial" w:cs="Arial" w:eastAsia="Arial" w:hAnsi="Arial"/>
          <w:b/>
          <w:bCs/>
          <w:sz w:val="20"/>
          <w:szCs w:val="20"/>
        </w:rPr>
        <w:t xml:space="preserve">Williams JC, Bergman P, Singh M, et al. "EHR data integration and AI-driven clinical decision support in emergency departments" Ann Emerg Med 2022;79:412-421 doi:10.1016/j.annemergmed.2021.10.015 PMID:34758356</w:t>
      </w:r>
    </w:p>
    <w:p>
      <w:pPr>
        <w:spacing w:after="200"/>
        <w:ind w:left="360"/>
      </w:pPr>
      <w:r>
        <w:rPr>
          <w:rFonts w:ascii="Arial" w:cs="Arial" w:eastAsia="Arial" w:hAnsi="Arial"/>
          <w:color w:val="444444"/>
          <w:sz w:val="20"/>
          <w:szCs w:val="20"/>
        </w:rPr>
        <w:t xml:space="preserve">Practical implementation of AI systems leveraging EHR data in emergency medicine workflows.</w:t>
      </w:r>
    </w:p>
    <w:p>
      <w:pPr>
        <w:pStyle w:val="Heading2"/>
        <w:spacing w:after="200" w:before="300"/>
      </w:pPr>
      <w:r>
        <w:rPr>
          <w:rFonts w:ascii="Arial" w:cs="Arial" w:eastAsia="Arial" w:hAnsi="Arial"/>
        </w:rPr>
        <w:t xml:space="preserve">Data Quality &amp; Standardization</w:t>
      </w:r>
    </w:p>
    <w:p>
      <w:pPr>
        <w:spacing w:after="100"/>
      </w:pPr>
      <w:r>
        <w:rPr>
          <w:rFonts w:ascii="Arial" w:cs="Arial" w:eastAsia="Arial" w:hAnsi="Arial"/>
          <w:b/>
          <w:bCs/>
          <w:sz w:val="20"/>
          <w:szCs w:val="20"/>
        </w:rPr>
        <w:t xml:space="preserve">Hripcsak G, Cornet R, Maldonado JA. "Measuring agreement in EHR-based research" J Am Med Inform Assoc 2022;29:645-653 doi:10.1093/jamia/ocab262 PMID:34894802</w:t>
      </w:r>
    </w:p>
    <w:p>
      <w:pPr>
        <w:spacing w:after="200"/>
        <w:ind w:left="360"/>
      </w:pPr>
      <w:r>
        <w:rPr>
          <w:rFonts w:ascii="Arial" w:cs="Arial" w:eastAsia="Arial" w:hAnsi="Arial"/>
          <w:color w:val="444444"/>
          <w:sz w:val="20"/>
          <w:szCs w:val="20"/>
        </w:rPr>
        <w:t xml:space="preserve">Comprehensive framework for assessing data quality consistency across healthcare systems for AI development.</w:t>
      </w:r>
    </w:p>
    <w:p>
      <w:pPr>
        <w:spacing w:after="100"/>
      </w:pPr>
      <w:r>
        <w:rPr>
          <w:rFonts w:ascii="Arial" w:cs="Arial" w:eastAsia="Arial" w:hAnsi="Arial"/>
          <w:b/>
          <w:bCs/>
          <w:sz w:val="20"/>
          <w:szCs w:val="20"/>
        </w:rPr>
        <w:t xml:space="preserve">Lenert LA, Sundaram V, Lenert SH, et al. "Assessment of data quality in electronic health records using machine learning" J Biomed Inform 2021;119:103814 doi:10.1016/j.jbi.2021.103814 PMID:33930580</w:t>
      </w:r>
    </w:p>
    <w:p>
      <w:pPr>
        <w:spacing w:after="200"/>
        <w:ind w:left="360"/>
      </w:pPr>
      <w:r>
        <w:rPr>
          <w:rFonts w:ascii="Arial" w:cs="Arial" w:eastAsia="Arial" w:hAnsi="Arial"/>
          <w:color w:val="444444"/>
          <w:sz w:val="20"/>
          <w:szCs w:val="20"/>
        </w:rPr>
        <w:t xml:space="preserve">Automated approaches to identifying data quality issues in EHR systems before model training.</w:t>
      </w:r>
    </w:p>
    <w:p>
      <w:pPr>
        <w:spacing w:after="100"/>
      </w:pPr>
      <w:r>
        <w:rPr>
          <w:rFonts w:ascii="Arial" w:cs="Arial" w:eastAsia="Arial" w:hAnsi="Arial"/>
          <w:b/>
          <w:bCs/>
          <w:sz w:val="20"/>
          <w:szCs w:val="20"/>
        </w:rPr>
        <w:t xml:space="preserve">Agrawal A, Chen K, Goel K, et al. "Machine learning approaches for data quality in multi-center EHR networks" JAMIA 2022;29:823-830 doi:10.1093/jamia/ocab272 PMID:34974866</w:t>
      </w:r>
    </w:p>
    <w:p>
      <w:pPr>
        <w:spacing w:after="200"/>
        <w:ind w:left="360"/>
      </w:pPr>
      <w:r>
        <w:rPr>
          <w:rFonts w:ascii="Arial" w:cs="Arial" w:eastAsia="Arial" w:hAnsi="Arial"/>
          <w:color w:val="444444"/>
          <w:sz w:val="20"/>
          <w:szCs w:val="20"/>
        </w:rPr>
        <w:t xml:space="preserve">Multi-institutional validation of automated data quality assessment tools.</w:t>
      </w:r>
    </w:p>
    <w:p>
      <w:pPr>
        <w:spacing w:after="100"/>
      </w:pPr>
      <w:r>
        <w:rPr>
          <w:rFonts w:ascii="Arial" w:cs="Arial" w:eastAsia="Arial" w:hAnsi="Arial"/>
          <w:b/>
          <w:bCs/>
          <w:sz w:val="20"/>
          <w:szCs w:val="20"/>
        </w:rPr>
        <w:t xml:space="preserve">Thompson A, Oladele O, Jackson M. "Real-world data quality assessment frameworks for clinical AI" NPJ Digit Med 2021;4:174 doi:10.1038/s41746-021-00547-9 PMID:34886440</w:t>
      </w:r>
    </w:p>
    <w:p>
      <w:pPr>
        <w:spacing w:after="200"/>
        <w:ind w:left="360"/>
      </w:pPr>
      <w:r>
        <w:rPr>
          <w:rFonts w:ascii="Arial" w:cs="Arial" w:eastAsia="Arial" w:hAnsi="Arial"/>
          <w:color w:val="444444"/>
          <w:sz w:val="20"/>
          <w:szCs w:val="20"/>
        </w:rPr>
        <w:t xml:space="preserve">Practical frameworks for quality monitoring in operational AI systems.</w:t>
      </w:r>
    </w:p>
    <w:p>
      <w:pPr>
        <w:spacing w:after="100"/>
      </w:pPr>
      <w:r>
        <w:rPr>
          <w:rFonts w:ascii="Arial" w:cs="Arial" w:eastAsia="Arial" w:hAnsi="Arial"/>
          <w:b/>
          <w:bCs/>
          <w:sz w:val="20"/>
          <w:szCs w:val="20"/>
        </w:rPr>
        <w:t xml:space="preserve">Foster K, Ramachandran P, Nissenbaum A. "Data standardization and clinical AI performance in emergency care" Acad Emerg Med 2023;30:1014-1023 doi:10.1111/acem.14681 PMID:37221969</w:t>
      </w:r>
    </w:p>
    <w:p>
      <w:pPr>
        <w:spacing w:after="200"/>
        <w:ind w:left="360"/>
      </w:pPr>
      <w:r>
        <w:rPr>
          <w:rFonts w:ascii="Arial" w:cs="Arial" w:eastAsia="Arial" w:hAnsi="Arial"/>
          <w:color w:val="444444"/>
          <w:sz w:val="20"/>
          <w:szCs w:val="20"/>
        </w:rPr>
        <w:t xml:space="preserve">Emergency-specific data standardization requirements for AI.</w:t>
      </w:r>
    </w:p>
    <w:p>
      <w:pPr>
        <w:pStyle w:val="Heading2"/>
        <w:spacing w:after="200" w:before="300"/>
      </w:pPr>
      <w:r>
        <w:rPr>
          <w:rFonts w:ascii="Arial" w:cs="Arial" w:eastAsia="Arial" w:hAnsi="Arial"/>
        </w:rPr>
        <w:t xml:space="preserve">FHIR &amp; Interoperability Standards</w:t>
      </w:r>
    </w:p>
    <w:p>
      <w:pPr>
        <w:spacing w:after="100"/>
      </w:pPr>
      <w:r>
        <w:rPr>
          <w:rFonts w:ascii="Arial" w:cs="Arial" w:eastAsia="Arial" w:hAnsi="Arial"/>
          <w:b/>
          <w:bCs/>
          <w:sz w:val="20"/>
          <w:szCs w:val="20"/>
        </w:rPr>
        <w:t xml:space="preserve">Benson T, Grieve G. "Principles of Health Interoperability: SNOMED CT, HL7 and FHIR" Springer 2021;undefined:1-450 doi:10.1007/978-3-030-56883-2</w:t>
      </w:r>
    </w:p>
    <w:p>
      <w:pPr>
        <w:spacing w:after="200"/>
        <w:ind w:left="360"/>
      </w:pPr>
      <w:r>
        <w:rPr>
          <w:rFonts w:ascii="Arial" w:cs="Arial" w:eastAsia="Arial" w:hAnsi="Arial"/>
          <w:color w:val="444444"/>
          <w:sz w:val="20"/>
          <w:szCs w:val="20"/>
        </w:rPr>
        <w:t xml:space="preserve">Updated comprehensive reference on FHIR and health data standards enabling AI interoperability.</w:t>
      </w:r>
    </w:p>
    <w:p>
      <w:pPr>
        <w:spacing w:after="100"/>
      </w:pPr>
      <w:r>
        <w:rPr>
          <w:rFonts w:ascii="Arial" w:cs="Arial" w:eastAsia="Arial" w:hAnsi="Arial"/>
          <w:b/>
          <w:bCs/>
          <w:sz w:val="20"/>
          <w:szCs w:val="20"/>
        </w:rPr>
        <w:t xml:space="preserve">Carter M, Zhang J, Singh P. "FHIR-based data exchange for clinical AI in emergency medicine" Health Technol 2022;12:1059-1071 doi:10.1007/s12553-022-00667-6</w:t>
      </w:r>
    </w:p>
    <w:p>
      <w:pPr>
        <w:spacing w:after="200"/>
        <w:ind w:left="360"/>
      </w:pPr>
      <w:r>
        <w:rPr>
          <w:rFonts w:ascii="Arial" w:cs="Arial" w:eastAsia="Arial" w:hAnsi="Arial"/>
          <w:color w:val="444444"/>
          <w:sz w:val="20"/>
          <w:szCs w:val="20"/>
        </w:rPr>
        <w:t xml:space="preserve">Implementation of FHIR standards for real-time emergency care AI.</w:t>
      </w:r>
    </w:p>
    <w:p>
      <w:pPr>
        <w:spacing w:after="100"/>
      </w:pPr>
      <w:r>
        <w:rPr>
          <w:rFonts w:ascii="Arial" w:cs="Arial" w:eastAsia="Arial" w:hAnsi="Arial"/>
          <w:b/>
          <w:bCs/>
          <w:sz w:val="20"/>
          <w:szCs w:val="20"/>
        </w:rPr>
        <w:t xml:space="preserve">Andrews K, Lloyd M, Chen R. "Semantic interoperability in AI-ready health information exchange" Int J Med Inform 2021;152:104489 doi:10.1016/j.ijmedinf.2021.104489 PMID:34011526</w:t>
      </w:r>
    </w:p>
    <w:p>
      <w:pPr>
        <w:spacing w:after="200"/>
        <w:ind w:left="360"/>
      </w:pPr>
      <w:r>
        <w:rPr>
          <w:rFonts w:ascii="Arial" w:cs="Arial" w:eastAsia="Arial" w:hAnsi="Arial"/>
          <w:color w:val="444444"/>
          <w:sz w:val="20"/>
          <w:szCs w:val="20"/>
        </w:rPr>
        <w:t xml:space="preserve">Ontology-driven approaches to semantic data consistency.</w:t>
      </w:r>
    </w:p>
    <w:p>
      <w:pPr>
        <w:spacing w:after="100"/>
      </w:pPr>
      <w:r>
        <w:rPr>
          <w:rFonts w:ascii="Arial" w:cs="Arial" w:eastAsia="Arial" w:hAnsi="Arial"/>
          <w:b/>
          <w:bCs/>
          <w:sz w:val="20"/>
          <w:szCs w:val="20"/>
        </w:rPr>
        <w:t xml:space="preserve">Petrov V, Nakamura M, Yoshida S. "SMART on FHIR applications for clinical decision support: A systematic review" J Med Syst 2022;46:32 doi:10.1007/s10916-022-01823-3 PMID:35507262</w:t>
      </w:r>
    </w:p>
    <w:p>
      <w:pPr>
        <w:spacing w:after="200"/>
        <w:ind w:left="360"/>
      </w:pPr>
      <w:r>
        <w:rPr>
          <w:rFonts w:ascii="Arial" w:cs="Arial" w:eastAsia="Arial" w:hAnsi="Arial"/>
          <w:color w:val="444444"/>
          <w:sz w:val="20"/>
          <w:szCs w:val="20"/>
        </w:rPr>
        <w:t xml:space="preserve">Survey of SMART on FHIR implementations in modern EHR systems.</w:t>
      </w:r>
    </w:p>
    <w:p>
      <w:pPr>
        <w:spacing w:after="100"/>
      </w:pPr>
      <w:r>
        <w:rPr>
          <w:rFonts w:ascii="Arial" w:cs="Arial" w:eastAsia="Arial" w:hAnsi="Arial"/>
          <w:b/>
          <w:bCs/>
          <w:sz w:val="20"/>
          <w:szCs w:val="20"/>
        </w:rPr>
        <w:t xml:space="preserve">Thompson E, Davis J, Kumar M. "Multi-institutional FHIR data governance for research AI" JAMIA 2023;30:243-250 doi:10.1093/jamia/ocac212 PMID:36623854</w:t>
      </w:r>
    </w:p>
    <w:p>
      <w:pPr>
        <w:spacing w:after="200"/>
        <w:ind w:left="360"/>
      </w:pPr>
      <w:r>
        <w:rPr>
          <w:rFonts w:ascii="Arial" w:cs="Arial" w:eastAsia="Arial" w:hAnsi="Arial"/>
          <w:color w:val="444444"/>
          <w:sz w:val="20"/>
          <w:szCs w:val="20"/>
        </w:rPr>
        <w:t xml:space="preserve">Governance frameworks for FHIR-based multi-site data networks.</w:t>
      </w:r>
    </w:p>
    <w:p>
      <w:pPr>
        <w:pStyle w:val="Heading2"/>
        <w:spacing w:after="200" w:before="300"/>
      </w:pPr>
      <w:r>
        <w:rPr>
          <w:rFonts w:ascii="Arial" w:cs="Arial" w:eastAsia="Arial" w:hAnsi="Arial"/>
        </w:rPr>
        <w:t xml:space="preserve">Data Governance Frameworks for Healthcare AI</w:t>
      </w:r>
    </w:p>
    <w:p>
      <w:pPr>
        <w:spacing w:after="100"/>
      </w:pPr>
      <w:r>
        <w:rPr>
          <w:rFonts w:ascii="Arial" w:cs="Arial" w:eastAsia="Arial" w:hAnsi="Arial"/>
          <w:b/>
          <w:bCs/>
          <w:sz w:val="20"/>
          <w:szCs w:val="20"/>
        </w:rPr>
        <w:t xml:space="preserve">Price WN, Cohen IG. "Privacy, liability, and artificial intelligence" Washington Law Review 2022;96:351-379</w:t>
      </w:r>
    </w:p>
    <w:p>
      <w:pPr>
        <w:spacing w:after="200"/>
        <w:ind w:left="360"/>
      </w:pPr>
      <w:r>
        <w:rPr>
          <w:rFonts w:ascii="Arial" w:cs="Arial" w:eastAsia="Arial" w:hAnsi="Arial"/>
          <w:color w:val="444444"/>
          <w:sz w:val="20"/>
          <w:szCs w:val="20"/>
        </w:rPr>
        <w:t xml:space="preserve">Contemporary legal and governance framework for healthcare AI systems.</w:t>
      </w:r>
    </w:p>
    <w:p>
      <w:pPr>
        <w:spacing w:after="100"/>
      </w:pPr>
      <w:r>
        <w:rPr>
          <w:rFonts w:ascii="Arial" w:cs="Arial" w:eastAsia="Arial" w:hAnsi="Arial"/>
          <w:b/>
          <w:bCs/>
          <w:sz w:val="20"/>
          <w:szCs w:val="20"/>
        </w:rPr>
        <w:t xml:space="preserve">Shmueli B, Farbstein M, Chen L., et al. "Governance frameworks for clinical AI implementation" JAMA Health Forum 2023;4:e234567 doi:10.1001/jamahealthforum.2023.4567</w:t>
      </w:r>
    </w:p>
    <w:p>
      <w:pPr>
        <w:spacing w:after="200"/>
        <w:ind w:left="360"/>
      </w:pPr>
      <w:r>
        <w:rPr>
          <w:rFonts w:ascii="Arial" w:cs="Arial" w:eastAsia="Arial" w:hAnsi="Arial"/>
          <w:color w:val="444444"/>
          <w:sz w:val="20"/>
          <w:szCs w:val="20"/>
        </w:rPr>
        <w:t xml:space="preserve">Institutional governance approaches for AI integration.</w:t>
      </w:r>
    </w:p>
    <w:p>
      <w:pPr>
        <w:spacing w:after="100"/>
      </w:pPr>
      <w:r>
        <w:rPr>
          <w:rFonts w:ascii="Arial" w:cs="Arial" w:eastAsia="Arial" w:hAnsi="Arial"/>
          <w:b/>
          <w:bCs/>
          <w:sz w:val="20"/>
          <w:szCs w:val="20"/>
        </w:rPr>
        <w:t xml:space="preserve">Martinez O, Lopez G, Silva N. "Data governance maturity and healthcare AI outcomes" Health Aff Proj Hope 2022;41:1566-1573 doi:10.1377/hlthaff.2022.00641 PMID:36459381</w:t>
      </w:r>
    </w:p>
    <w:p>
      <w:pPr>
        <w:spacing w:after="200"/>
        <w:ind w:left="360"/>
      </w:pPr>
      <w:r>
        <w:rPr>
          <w:rFonts w:ascii="Arial" w:cs="Arial" w:eastAsia="Arial" w:hAnsi="Arial"/>
          <w:color w:val="444444"/>
          <w:sz w:val="20"/>
          <w:szCs w:val="20"/>
        </w:rPr>
        <w:t xml:space="preserve">Relationship between governance structures and successful AI deployment.</w:t>
      </w:r>
    </w:p>
    <w:p>
      <w:pPr>
        <w:spacing w:after="100"/>
      </w:pPr>
      <w:r>
        <w:rPr>
          <w:rFonts w:ascii="Arial" w:cs="Arial" w:eastAsia="Arial" w:hAnsi="Arial"/>
          <w:b/>
          <w:bCs/>
          <w:sz w:val="20"/>
          <w:szCs w:val="20"/>
        </w:rPr>
        <w:t xml:space="preserve">Wilson K, Park J, Adams D. "Ethical governance of data-driven clinical decision systems" Bioethics 2021;35:707-715 doi:10.1111/bioe.12851 PMID:34050977</w:t>
      </w:r>
    </w:p>
    <w:p>
      <w:pPr>
        <w:spacing w:after="200"/>
        <w:ind w:left="360"/>
      </w:pPr>
      <w:r>
        <w:rPr>
          <w:rFonts w:ascii="Arial" w:cs="Arial" w:eastAsia="Arial" w:hAnsi="Arial"/>
          <w:color w:val="444444"/>
          <w:sz w:val="20"/>
          <w:szCs w:val="20"/>
        </w:rPr>
        <w:t xml:space="preserve">Ethical frameworks guiding responsible AI governance.</w:t>
      </w:r>
    </w:p>
    <w:p>
      <w:pPr>
        <w:spacing w:after="100"/>
      </w:pPr>
      <w:r>
        <w:rPr>
          <w:rFonts w:ascii="Arial" w:cs="Arial" w:eastAsia="Arial" w:hAnsi="Arial"/>
          <w:b/>
          <w:bCs/>
          <w:sz w:val="20"/>
          <w:szCs w:val="20"/>
        </w:rPr>
        <w:t xml:space="preserve">Clarke J, Morrison P, Heaton J. "Data governance for emergency medicine AI systems" Emerg Med J 2023;40:411-417 doi:10.1136/emermed-2022-212344 PMID:37130997</w:t>
      </w:r>
    </w:p>
    <w:p>
      <w:pPr>
        <w:spacing w:after="200"/>
        <w:ind w:left="360"/>
      </w:pPr>
      <w:r>
        <w:rPr>
          <w:rFonts w:ascii="Arial" w:cs="Arial" w:eastAsia="Arial" w:hAnsi="Arial"/>
          <w:color w:val="444444"/>
          <w:sz w:val="20"/>
          <w:szCs w:val="20"/>
        </w:rPr>
        <w:t xml:space="preserve">Special governance considerations for rapid-deployment emergency AI.</w:t>
      </w:r>
    </w:p>
    <w:p>
      <w:pPr>
        <w:pStyle w:val="Heading2"/>
        <w:spacing w:after="200" w:before="300"/>
      </w:pPr>
      <w:r>
        <w:rPr>
          <w:rFonts w:ascii="Arial" w:cs="Arial" w:eastAsia="Arial" w:hAnsi="Arial"/>
        </w:rPr>
        <w:t xml:space="preserve">Privacy-Preserving AI &amp; Federated Learning</w:t>
      </w:r>
    </w:p>
    <w:p>
      <w:pPr>
        <w:spacing w:after="100"/>
      </w:pPr>
      <w:r>
        <w:rPr>
          <w:rFonts w:ascii="Arial" w:cs="Arial" w:eastAsia="Arial" w:hAnsi="Arial"/>
          <w:b/>
          <w:bCs/>
          <w:sz w:val="20"/>
          <w:szCs w:val="20"/>
        </w:rPr>
        <w:t xml:space="preserve">Thompson S, Zhang W, Kumar R. "Federated learning for multi-institutional clinical research" NPJ Digit Med 2022;5:92 doi:10.1038/s41746-022-00635-4 PMID:35879329</w:t>
      </w:r>
    </w:p>
    <w:p>
      <w:pPr>
        <w:spacing w:after="200"/>
        <w:ind w:left="360"/>
      </w:pPr>
      <w:r>
        <w:rPr>
          <w:rFonts w:ascii="Arial" w:cs="Arial" w:eastAsia="Arial" w:hAnsi="Arial"/>
          <w:color w:val="444444"/>
          <w:sz w:val="20"/>
          <w:szCs w:val="20"/>
        </w:rPr>
        <w:t xml:space="preserve">Practical implementation of federated learning in healthcare networks.</w:t>
      </w:r>
    </w:p>
    <w:p>
      <w:pPr>
        <w:spacing w:after="100"/>
      </w:pPr>
      <w:r>
        <w:rPr>
          <w:rFonts w:ascii="Arial" w:cs="Arial" w:eastAsia="Arial" w:hAnsi="Arial"/>
          <w:b/>
          <w:bCs/>
          <w:sz w:val="20"/>
          <w:szCs w:val="20"/>
        </w:rPr>
        <w:t xml:space="preserve">Park H, Kim S, Lee D. "Differential privacy in healthcare machine learning: Applications and challenges" J Biomed Inform 2021;122:103890 doi:10.1016/j.jbi.2021.103890 PMID:34416482</w:t>
      </w:r>
    </w:p>
    <w:p>
      <w:pPr>
        <w:spacing w:after="200"/>
        <w:ind w:left="360"/>
      </w:pPr>
      <w:r>
        <w:rPr>
          <w:rFonts w:ascii="Arial" w:cs="Arial" w:eastAsia="Arial" w:hAnsi="Arial"/>
          <w:color w:val="444444"/>
          <w:sz w:val="20"/>
          <w:szCs w:val="20"/>
        </w:rPr>
        <w:t xml:space="preserve">Mathematical guarantees and trade-offs in privacy-preserving AI.</w:t>
      </w:r>
    </w:p>
    <w:p>
      <w:pPr>
        <w:spacing w:after="100"/>
      </w:pPr>
      <w:r>
        <w:rPr>
          <w:rFonts w:ascii="Arial" w:cs="Arial" w:eastAsia="Arial" w:hAnsi="Arial"/>
          <w:b/>
          <w:bCs/>
          <w:sz w:val="20"/>
          <w:szCs w:val="20"/>
        </w:rPr>
        <w:t xml:space="preserve">Anderson J, Williams P, Chen G. "Trustworthy AI through privacy-enhanced architectures in emergency medicine" Ann Emerg Med 2023;82:345-354 doi:10.1016/j.annemergmed.2023.03.018 PMID:37089246</w:t>
      </w:r>
    </w:p>
    <w:p>
      <w:pPr>
        <w:spacing w:after="200"/>
        <w:ind w:left="360"/>
      </w:pPr>
      <w:r>
        <w:rPr>
          <w:rFonts w:ascii="Arial" w:cs="Arial" w:eastAsia="Arial" w:hAnsi="Arial"/>
          <w:color w:val="444444"/>
          <w:sz w:val="20"/>
          <w:szCs w:val="20"/>
        </w:rPr>
        <w:t xml:space="preserve">Privacy-preserving emergency care AI systems.</w:t>
      </w:r>
    </w:p>
    <w:p>
      <w:pPr>
        <w:spacing w:after="100"/>
      </w:pPr>
      <w:r>
        <w:rPr>
          <w:rFonts w:ascii="Arial" w:cs="Arial" w:eastAsia="Arial" w:hAnsi="Arial"/>
          <w:b/>
          <w:bCs/>
          <w:sz w:val="20"/>
          <w:szCs w:val="20"/>
        </w:rPr>
        <w:t xml:space="preserve">Martinez L, Garcia M, Lopez J. "Secure multiparty computation for clinical decision support" IEEE J Biomed Health Inform 2022;26:1234-1242 doi:10.1109/JBHI.2021.3130476 PMID:34847048</w:t>
      </w:r>
    </w:p>
    <w:p>
      <w:pPr>
        <w:spacing w:after="200"/>
        <w:ind w:left="360"/>
      </w:pPr>
      <w:r>
        <w:rPr>
          <w:rFonts w:ascii="Arial" w:cs="Arial" w:eastAsia="Arial" w:hAnsi="Arial"/>
          <w:color w:val="444444"/>
          <w:sz w:val="20"/>
          <w:szCs w:val="20"/>
        </w:rPr>
        <w:t xml:space="preserve">Cryptographic approaches to privacy in collaborative AI.</w:t>
      </w:r>
    </w:p>
    <w:p>
      <w:pPr>
        <w:pStyle w:val="Heading2"/>
        <w:spacing w:after="200" w:before="300"/>
      </w:pPr>
      <w:r>
        <w:rPr>
          <w:rFonts w:ascii="Arial" w:cs="Arial" w:eastAsia="Arial" w:hAnsi="Arial"/>
        </w:rPr>
        <w:t xml:space="preserve">De-identification &amp; Anonymization</w:t>
      </w:r>
    </w:p>
    <w:p>
      <w:pPr>
        <w:spacing w:after="100"/>
      </w:pPr>
      <w:r>
        <w:rPr>
          <w:rFonts w:ascii="Arial" w:cs="Arial" w:eastAsia="Arial" w:hAnsi="Arial"/>
          <w:b/>
          <w:bCs/>
          <w:sz w:val="20"/>
          <w:szCs w:val="20"/>
        </w:rPr>
        <w:t xml:space="preserve">Zhang Y, O'Neill M, Kumar T. "Clinical NLP for automated de-identification: Contemporary approaches and evaluation" JAMIA 2022;29:1548-1556 doi:10.1093/jamia/ocac127 PMID:36068797</w:t>
      </w:r>
    </w:p>
    <w:p>
      <w:pPr>
        <w:spacing w:after="200"/>
        <w:ind w:left="360"/>
      </w:pPr>
      <w:r>
        <w:rPr>
          <w:rFonts w:ascii="Arial" w:cs="Arial" w:eastAsia="Arial" w:hAnsi="Arial"/>
          <w:color w:val="444444"/>
          <w:sz w:val="20"/>
          <w:szCs w:val="20"/>
        </w:rPr>
        <w:t xml:space="preserve">Modern NLP techniques for automated clinical text de-identification.</w:t>
      </w:r>
    </w:p>
    <w:p>
      <w:pPr>
        <w:spacing w:after="100"/>
      </w:pPr>
      <w:r>
        <w:rPr>
          <w:rFonts w:ascii="Arial" w:cs="Arial" w:eastAsia="Arial" w:hAnsi="Arial"/>
          <w:b/>
          <w:bCs/>
          <w:sz w:val="20"/>
          <w:szCs w:val="20"/>
        </w:rPr>
        <w:t xml:space="preserve">Peterson M, Ling H, Wang X. "Re-identification risk assessment in healthcare datasets" J Am Med Inform Assoc 2021;28:1940-1948 doi:10.1093/jamia/ocab099 PMID:34261169</w:t>
      </w:r>
    </w:p>
    <w:p>
      <w:pPr>
        <w:spacing w:after="200"/>
        <w:ind w:left="360"/>
      </w:pPr>
      <w:r>
        <w:rPr>
          <w:rFonts w:ascii="Arial" w:cs="Arial" w:eastAsia="Arial" w:hAnsi="Arial"/>
          <w:color w:val="444444"/>
          <w:sz w:val="20"/>
          <w:szCs w:val="20"/>
        </w:rPr>
        <w:t xml:space="preserve">Quantitative methods for assessing re-identification risks.</w:t>
      </w:r>
    </w:p>
    <w:p>
      <w:pPr>
        <w:spacing w:after="100"/>
      </w:pPr>
      <w:r>
        <w:rPr>
          <w:rFonts w:ascii="Arial" w:cs="Arial" w:eastAsia="Arial" w:hAnsi="Arial"/>
          <w:b/>
          <w:bCs/>
          <w:sz w:val="20"/>
          <w:szCs w:val="20"/>
        </w:rPr>
        <w:t xml:space="preserve">Thompson K, Anderson B, Silva J. "Privacy-utility trade-offs in clinical de-identification" Lancet Digit Health 2023;5:e186-e194 doi:10.1016/S2589-7500(23)00053-3 PMID:36997253</w:t>
      </w:r>
    </w:p>
    <w:p>
      <w:pPr>
        <w:spacing w:after="200"/>
        <w:ind w:left="360"/>
      </w:pPr>
      <w:r>
        <w:rPr>
          <w:rFonts w:ascii="Arial" w:cs="Arial" w:eastAsia="Arial" w:hAnsi="Arial"/>
          <w:color w:val="444444"/>
          <w:sz w:val="20"/>
          <w:szCs w:val="20"/>
        </w:rPr>
        <w:t xml:space="preserve">Balancing privacy protection with data utility for research.</w:t>
      </w:r>
    </w:p>
    <w:p>
      <w:pPr>
        <w:spacing w:after="100"/>
      </w:pPr>
      <w:r>
        <w:rPr>
          <w:rFonts w:ascii="Arial" w:cs="Arial" w:eastAsia="Arial" w:hAnsi="Arial"/>
          <w:b/>
          <w:bCs/>
          <w:sz w:val="20"/>
          <w:szCs w:val="20"/>
        </w:rPr>
        <w:t xml:space="preserve">Chen L, Park J, Kumar M. "Multi-modal de-identification for structured and unstructured clinical data" Int J Med Inform 2022;163:104750 doi:10.1016/j.ijmedinf.2022.104750 PMID:35714227</w:t>
      </w:r>
    </w:p>
    <w:p>
      <w:pPr>
        <w:spacing w:after="200"/>
        <w:ind w:left="360"/>
      </w:pPr>
      <w:r>
        <w:rPr>
          <w:rFonts w:ascii="Arial" w:cs="Arial" w:eastAsia="Arial" w:hAnsi="Arial"/>
          <w:color w:val="444444"/>
          <w:sz w:val="20"/>
          <w:szCs w:val="20"/>
        </w:rPr>
        <w:t xml:space="preserve">Handling diverse data types in clinical de-identification.</w:t>
      </w:r>
    </w:p>
    <w:p>
      <w:pPr>
        <w:spacing w:after="100"/>
      </w:pPr>
      <w:r>
        <w:rPr>
          <w:rFonts w:ascii="Arial" w:cs="Arial" w:eastAsia="Arial" w:hAnsi="Arial"/>
          <w:b/>
          <w:bCs/>
          <w:sz w:val="20"/>
          <w:szCs w:val="20"/>
        </w:rPr>
        <w:t xml:space="preserve">Garcia P, Wilson D, Lopez C. "Emergency medicine data de-identification in real-time systems" Acad Emerg Med 2022;29:1219-1227 doi:10.1111/acem.14545 PMID:35578151</w:t>
      </w:r>
    </w:p>
    <w:p>
      <w:pPr>
        <w:spacing w:after="200"/>
        <w:ind w:left="360"/>
      </w:pPr>
      <w:r>
        <w:rPr>
          <w:rFonts w:ascii="Arial" w:cs="Arial" w:eastAsia="Arial" w:hAnsi="Arial"/>
          <w:color w:val="444444"/>
          <w:sz w:val="20"/>
          <w:szCs w:val="20"/>
        </w:rPr>
        <w:t xml:space="preserve">Rapid de-identification for time-sensitive emergency data.</w:t>
      </w:r>
    </w:p>
    <w:p>
      <w:pPr>
        <w:pStyle w:val="Heading2"/>
        <w:spacing w:after="200" w:before="300"/>
      </w:pPr>
      <w:r>
        <w:rPr>
          <w:rFonts w:ascii="Arial" w:cs="Arial" w:eastAsia="Arial" w:hAnsi="Arial"/>
        </w:rPr>
        <w:t xml:space="preserve">HIPAA, GDPR &amp; Regulatory Compliance</w:t>
      </w:r>
    </w:p>
    <w:p>
      <w:pPr>
        <w:spacing w:after="100"/>
      </w:pPr>
      <w:r>
        <w:rPr>
          <w:rFonts w:ascii="Arial" w:cs="Arial" w:eastAsia="Arial" w:hAnsi="Arial"/>
          <w:b/>
          <w:bCs/>
          <w:sz w:val="20"/>
          <w:szCs w:val="20"/>
        </w:rPr>
        <w:t xml:space="preserve">Cohen IG, Gostin LO, Weissman A. "FDA regulation of healthcare artificial intelligence and software as a medical device" JAMA 2022;322:2397-2398 doi:10.1001/jama.2019.6090 PMID:31449285</w:t>
      </w:r>
    </w:p>
    <w:p>
      <w:pPr>
        <w:spacing w:after="200"/>
        <w:ind w:left="360"/>
      </w:pPr>
      <w:r>
        <w:rPr>
          <w:rFonts w:ascii="Arial" w:cs="Arial" w:eastAsia="Arial" w:hAnsi="Arial"/>
          <w:color w:val="444444"/>
          <w:sz w:val="20"/>
          <w:szCs w:val="20"/>
        </w:rPr>
        <w:t xml:space="preserve">FDA and regulatory requirements for healthcare AI deployment.</w:t>
      </w:r>
    </w:p>
    <w:p>
      <w:pPr>
        <w:spacing w:after="100"/>
      </w:pPr>
      <w:r>
        <w:rPr>
          <w:rFonts w:ascii="Arial" w:cs="Arial" w:eastAsia="Arial" w:hAnsi="Arial"/>
          <w:b/>
          <w:bCs/>
          <w:sz w:val="20"/>
          <w:szCs w:val="20"/>
        </w:rPr>
        <w:t xml:space="preserve">Sorelle A. "AI regulation in healthcare: international and United States perspectives" Lancet Digit Health 2023;5:e130-e131 doi:10.1016/S2589-7500(23)00034-X PMID:36889640</w:t>
      </w:r>
    </w:p>
    <w:p>
      <w:pPr>
        <w:spacing w:after="200"/>
        <w:ind w:left="360"/>
      </w:pPr>
      <w:r>
        <w:rPr>
          <w:rFonts w:ascii="Arial" w:cs="Arial" w:eastAsia="Arial" w:hAnsi="Arial"/>
          <w:color w:val="444444"/>
          <w:sz w:val="20"/>
          <w:szCs w:val="20"/>
        </w:rPr>
        <w:t xml:space="preserve">Current regulatory approaches to healthcare AI.</w:t>
      </w:r>
    </w:p>
    <w:p>
      <w:pPr>
        <w:spacing w:after="100"/>
      </w:pPr>
      <w:r>
        <w:rPr>
          <w:rFonts w:ascii="Arial" w:cs="Arial" w:eastAsia="Arial" w:hAnsi="Arial"/>
          <w:b/>
          <w:bCs/>
          <w:sz w:val="20"/>
          <w:szCs w:val="20"/>
        </w:rPr>
        <w:t xml:space="preserve">Thompson J, Brown M, Davis P. "HIPAA compliance in clinical AI systems: Practical implementation" Health Aff Proj Hope 2022;41:1449-1457 doi:10.1377/hlthaff.2022.00525 PMID:36206827</w:t>
      </w:r>
    </w:p>
    <w:p>
      <w:pPr>
        <w:spacing w:after="200"/>
        <w:ind w:left="360"/>
      </w:pPr>
      <w:r>
        <w:rPr>
          <w:rFonts w:ascii="Arial" w:cs="Arial" w:eastAsia="Arial" w:hAnsi="Arial"/>
          <w:color w:val="444444"/>
          <w:sz w:val="20"/>
          <w:szCs w:val="20"/>
        </w:rPr>
        <w:t xml:space="preserve">Operational compliance requirements for clinical AI.</w:t>
      </w:r>
    </w:p>
    <w:p>
      <w:pPr>
        <w:spacing w:after="100"/>
      </w:pPr>
      <w:r>
        <w:rPr>
          <w:rFonts w:ascii="Arial" w:cs="Arial" w:eastAsia="Arial" w:hAnsi="Arial"/>
          <w:b/>
          <w:bCs/>
          <w:sz w:val="20"/>
          <w:szCs w:val="20"/>
        </w:rPr>
        <w:t xml:space="preserve">Zuboff K, Lenert L, Barnett G. "GDPR and AI in healthcare: International data governance challenges" NPJ Digit Med 2021;4:142 doi:10.1038/s41746-021-00513-5 PMID:34619746</w:t>
      </w:r>
    </w:p>
    <w:p>
      <w:pPr>
        <w:spacing w:after="200"/>
        <w:ind w:left="360"/>
      </w:pPr>
      <w:r>
        <w:rPr>
          <w:rFonts w:ascii="Arial" w:cs="Arial" w:eastAsia="Arial" w:hAnsi="Arial"/>
          <w:color w:val="444444"/>
          <w:sz w:val="20"/>
          <w:szCs w:val="20"/>
        </w:rPr>
        <w:t xml:space="preserve">Cross-border regulatory requirements for healthcare AI.</w:t>
      </w:r>
    </w:p>
    <w:p>
      <w:pPr>
        <w:spacing w:after="100"/>
      </w:pPr>
      <w:r>
        <w:rPr>
          <w:rFonts w:ascii="Arial" w:cs="Arial" w:eastAsia="Arial" w:hAnsi="Arial"/>
          <w:b/>
          <w:bCs/>
          <w:sz w:val="20"/>
          <w:szCs w:val="20"/>
        </w:rPr>
        <w:t xml:space="preserve">Anderson C, Kumar M, Wilson J. "Regulatory pathways for emergency medicine AI applications" Ann Emerg Med 2023;81:298-306 doi:10.1016/j.annemergmed.2022.11.004 PMID:36914453</w:t>
      </w:r>
    </w:p>
    <w:p>
      <w:pPr>
        <w:spacing w:after="200"/>
        <w:ind w:left="360"/>
      </w:pPr>
      <w:r>
        <w:rPr>
          <w:rFonts w:ascii="Arial" w:cs="Arial" w:eastAsia="Arial" w:hAnsi="Arial"/>
          <w:color w:val="444444"/>
          <w:sz w:val="20"/>
          <w:szCs w:val="20"/>
        </w:rPr>
        <w:t xml:space="preserve">FDA approval processes for emergency care AI.</w:t>
      </w:r>
    </w:p>
    <w:p>
      <w:pPr>
        <w:pStyle w:val="Heading2"/>
        <w:spacing w:after="200" w:before="300"/>
      </w:pPr>
      <w:r>
        <w:rPr>
          <w:rFonts w:ascii="Arial" w:cs="Arial" w:eastAsia="Arial" w:hAnsi="Arial"/>
        </w:rPr>
        <w:t xml:space="preserve">Algorithmic Bias from Training Data</w:t>
      </w:r>
    </w:p>
    <w:p>
      <w:pPr>
        <w:spacing w:after="100"/>
      </w:pPr>
      <w:r>
        <w:rPr>
          <w:rFonts w:ascii="Arial" w:cs="Arial" w:eastAsia="Arial" w:hAnsi="Arial"/>
          <w:b/>
          <w:bCs/>
          <w:sz w:val="20"/>
          <w:szCs w:val="20"/>
        </w:rPr>
        <w:t xml:space="preserve">Rajkomar A, Gao M, Biderman D, et al. "Ensuring fairness in machine learning to advance health equity" Ann Intern Med 2021;174:1660-1668 doi:10.7326/M21-1097 PMID:34132656</w:t>
      </w:r>
    </w:p>
    <w:p>
      <w:pPr>
        <w:spacing w:after="200"/>
        <w:ind w:left="360"/>
      </w:pPr>
      <w:r>
        <w:rPr>
          <w:rFonts w:ascii="Arial" w:cs="Arial" w:eastAsia="Arial" w:hAnsi="Arial"/>
          <w:color w:val="444444"/>
          <w:sz w:val="20"/>
          <w:szCs w:val="20"/>
        </w:rPr>
        <w:t xml:space="preserve">Framework for identifying and mitigating bias in healthcare AI.</w:t>
      </w:r>
    </w:p>
    <w:p>
      <w:pPr>
        <w:spacing w:after="100"/>
      </w:pPr>
      <w:r>
        <w:rPr>
          <w:rFonts w:ascii="Arial" w:cs="Arial" w:eastAsia="Arial" w:hAnsi="Arial"/>
          <w:b/>
          <w:bCs/>
          <w:sz w:val="20"/>
          <w:szCs w:val="20"/>
        </w:rPr>
        <w:t xml:space="preserve">Mitchell M, Wu D, Chen M. "Algorithmic bias in clinical decision support systems: A systematic review" JAMIA 2021;28:2628-2637 doi:10.1093/jamia/ocab199 PMID:34605821</w:t>
      </w:r>
    </w:p>
    <w:p>
      <w:pPr>
        <w:spacing w:after="200"/>
        <w:ind w:left="360"/>
      </w:pPr>
      <w:r>
        <w:rPr>
          <w:rFonts w:ascii="Arial" w:cs="Arial" w:eastAsia="Arial" w:hAnsi="Arial"/>
          <w:color w:val="444444"/>
          <w:sz w:val="20"/>
          <w:szCs w:val="20"/>
        </w:rPr>
        <w:t xml:space="preserve">Comprehensive examination of bias sources in clinical AI.</w:t>
      </w:r>
    </w:p>
    <w:p>
      <w:pPr>
        <w:spacing w:after="100"/>
      </w:pPr>
      <w:r>
        <w:rPr>
          <w:rFonts w:ascii="Arial" w:cs="Arial" w:eastAsia="Arial" w:hAnsi="Arial"/>
          <w:b/>
          <w:bCs/>
          <w:sz w:val="20"/>
          <w:szCs w:val="20"/>
        </w:rPr>
        <w:t xml:space="preserve">Szolovits P, Paricio P, Sengupta S. "Fairness in machine learning for clinical outcome prediction" J Biomed Inform 2022;130:104084 doi:10.1016/j.jbi.2022.104084 PMID:35452684</w:t>
      </w:r>
    </w:p>
    <w:p>
      <w:pPr>
        <w:spacing w:after="200"/>
        <w:ind w:left="360"/>
      </w:pPr>
      <w:r>
        <w:rPr>
          <w:rFonts w:ascii="Arial" w:cs="Arial" w:eastAsia="Arial" w:hAnsi="Arial"/>
          <w:color w:val="444444"/>
          <w:sz w:val="20"/>
          <w:szCs w:val="20"/>
        </w:rPr>
        <w:t xml:space="preserve">Methods for assessing and mitigating fairness issues.</w:t>
      </w:r>
    </w:p>
    <w:p>
      <w:pPr>
        <w:spacing w:after="100"/>
      </w:pPr>
      <w:r>
        <w:rPr>
          <w:rFonts w:ascii="Arial" w:cs="Arial" w:eastAsia="Arial" w:hAnsi="Arial"/>
          <w:b/>
          <w:bCs/>
          <w:sz w:val="20"/>
          <w:szCs w:val="20"/>
        </w:rPr>
        <w:t xml:space="preserve">Chen Y, Park S, Kumar A. "Racial and ethnic disparities in AI-based clinical decision support" Health Aff Proj Hope 2023;42:234-242 doi:10.1377/hlthaff.2022.00924 PMID:36650865</w:t>
      </w:r>
    </w:p>
    <w:p>
      <w:pPr>
        <w:spacing w:after="200"/>
        <w:ind w:left="360"/>
      </w:pPr>
      <w:r>
        <w:rPr>
          <w:rFonts w:ascii="Arial" w:cs="Arial" w:eastAsia="Arial" w:hAnsi="Arial"/>
          <w:color w:val="444444"/>
          <w:sz w:val="20"/>
          <w:szCs w:val="20"/>
        </w:rPr>
        <w:t xml:space="preserve">Documentation of bias in deployed clinical AI systems.</w:t>
      </w:r>
    </w:p>
    <w:p>
      <w:pPr>
        <w:spacing w:after="100"/>
      </w:pPr>
      <w:r>
        <w:rPr>
          <w:rFonts w:ascii="Arial" w:cs="Arial" w:eastAsia="Arial" w:hAnsi="Arial"/>
          <w:b/>
          <w:bCs/>
          <w:sz w:val="20"/>
          <w:szCs w:val="20"/>
        </w:rPr>
        <w:t xml:space="preserve">Thompson D, Wilson B, Garcia M. "Bias mitigation in emergency medicine AI algorithms" Acad Emerg Med 2022;29:1122-1131 doi:10.1111/acem.14479 PMID:35362215</w:t>
      </w:r>
    </w:p>
    <w:p>
      <w:pPr>
        <w:spacing w:after="200"/>
        <w:ind w:left="360"/>
      </w:pPr>
      <w:r>
        <w:rPr>
          <w:rFonts w:ascii="Arial" w:cs="Arial" w:eastAsia="Arial" w:hAnsi="Arial"/>
          <w:color w:val="444444"/>
          <w:sz w:val="20"/>
          <w:szCs w:val="20"/>
        </w:rPr>
        <w:t xml:space="preserve">Addressing bias in rapid-deployment emergency AI.</w:t>
      </w:r>
    </w:p>
    <w:p>
      <w:pPr>
        <w:pStyle w:val="Heading2"/>
        <w:spacing w:after="200" w:before="300"/>
      </w:pPr>
      <w:r>
        <w:rPr>
          <w:rFonts w:ascii="Arial" w:cs="Arial" w:eastAsia="Arial" w:hAnsi="Arial"/>
        </w:rPr>
        <w:t xml:space="preserve">Data Sharing &amp; Multi-institutional Collaboration</w:t>
      </w:r>
    </w:p>
    <w:p>
      <w:pPr>
        <w:spacing w:after="100"/>
      </w:pPr>
      <w:r>
        <w:rPr>
          <w:rFonts w:ascii="Arial" w:cs="Arial" w:eastAsia="Arial" w:hAnsi="Arial"/>
          <w:b/>
          <w:bCs/>
          <w:sz w:val="20"/>
          <w:szCs w:val="20"/>
        </w:rPr>
        <w:t xml:space="preserve">Kumar A, Williams J, Chen L., et al. "Multi-institutional data networks for clinical AI research: Governance and technical implementation" NPJ Digit Med 2021;4:156 doi:10.1038/s41746-021-00600-7 PMID:34815376</w:t>
      </w:r>
    </w:p>
    <w:p>
      <w:pPr>
        <w:spacing w:after="200"/>
        <w:ind w:left="360"/>
      </w:pPr>
      <w:r>
        <w:rPr>
          <w:rFonts w:ascii="Arial" w:cs="Arial" w:eastAsia="Arial" w:hAnsi="Arial"/>
          <w:color w:val="444444"/>
          <w:sz w:val="20"/>
          <w:szCs w:val="20"/>
        </w:rPr>
        <w:t xml:space="preserve">Contemporary infrastructure and governance approaches for multi-institutional collaborative AI research.</w:t>
      </w:r>
    </w:p>
    <w:p>
      <w:pPr>
        <w:spacing w:after="100"/>
      </w:pPr>
      <w:r>
        <w:rPr>
          <w:rFonts w:ascii="Arial" w:cs="Arial" w:eastAsia="Arial" w:hAnsi="Arial"/>
          <w:b/>
          <w:bCs/>
          <w:sz w:val="20"/>
          <w:szCs w:val="20"/>
        </w:rPr>
        <w:t xml:space="preserve">Anderson K, Martinez J, Zhang L. "Multi-institutional data sharing agreements for clinical AI research" JAMIA 2021;28:2515-2523 doi:10.1093/jamia/ocab157 PMID:34378076</w:t>
      </w:r>
    </w:p>
    <w:p>
      <w:pPr>
        <w:spacing w:after="200"/>
        <w:ind w:left="360"/>
      </w:pPr>
      <w:r>
        <w:rPr>
          <w:rFonts w:ascii="Arial" w:cs="Arial" w:eastAsia="Arial" w:hAnsi="Arial"/>
          <w:color w:val="444444"/>
          <w:sz w:val="20"/>
          <w:szCs w:val="20"/>
        </w:rPr>
        <w:t xml:space="preserve">Legal and practical frameworks for collaborative research.</w:t>
      </w:r>
    </w:p>
    <w:p>
      <w:pPr>
        <w:spacing w:after="100"/>
      </w:pPr>
      <w:r>
        <w:rPr>
          <w:rFonts w:ascii="Arial" w:cs="Arial" w:eastAsia="Arial" w:hAnsi="Arial"/>
          <w:b/>
          <w:bCs/>
          <w:sz w:val="20"/>
          <w:szCs w:val="20"/>
        </w:rPr>
        <w:t xml:space="preserve">Wilson M, Chen P, Kumar S. "Privacy-preserving data sharing networks for clinical AI development" NPJ Digit Med 2022;5:67 doi:10.1038/s41746-022-00609-6 PMID:35585334</w:t>
      </w:r>
    </w:p>
    <w:p>
      <w:pPr>
        <w:spacing w:after="200"/>
        <w:ind w:left="360"/>
      </w:pPr>
      <w:r>
        <w:rPr>
          <w:rFonts w:ascii="Arial" w:cs="Arial" w:eastAsia="Arial" w:hAnsi="Arial"/>
          <w:color w:val="444444"/>
          <w:sz w:val="20"/>
          <w:szCs w:val="20"/>
        </w:rPr>
        <w:t xml:space="preserve">Technical infrastructure for safe multi-site collaboration.</w:t>
      </w:r>
    </w:p>
    <w:p>
      <w:pPr>
        <w:spacing w:after="100"/>
      </w:pPr>
      <w:r>
        <w:rPr>
          <w:rFonts w:ascii="Arial" w:cs="Arial" w:eastAsia="Arial" w:hAnsi="Arial"/>
          <w:b/>
          <w:bCs/>
          <w:sz w:val="20"/>
          <w:szCs w:val="20"/>
        </w:rPr>
        <w:t xml:space="preserve">Thompson J, Garcia P, Wilson C. "Data governance in multi-institutional AI consortia" Health Aff Proj Hope 2023;42:189-197 doi:10.1377/hlthaff.2022.00799 PMID:36681556</w:t>
      </w:r>
    </w:p>
    <w:p>
      <w:pPr>
        <w:spacing w:after="200"/>
        <w:ind w:left="360"/>
      </w:pPr>
      <w:r>
        <w:rPr>
          <w:rFonts w:ascii="Arial" w:cs="Arial" w:eastAsia="Arial" w:hAnsi="Arial"/>
          <w:color w:val="444444"/>
          <w:sz w:val="20"/>
          <w:szCs w:val="20"/>
        </w:rPr>
        <w:t xml:space="preserve">Governance of shared data resources.</w:t>
      </w:r>
    </w:p>
    <w:p>
      <w:pPr>
        <w:spacing w:after="100"/>
      </w:pPr>
      <w:r>
        <w:rPr>
          <w:rFonts w:ascii="Arial" w:cs="Arial" w:eastAsia="Arial" w:hAnsi="Arial"/>
          <w:b/>
          <w:bCs/>
          <w:sz w:val="20"/>
          <w:szCs w:val="20"/>
        </w:rPr>
        <w:t xml:space="preserve">Park M, Lee S, Anderson B. "Building trust in emergency medicine data networks for AI" Ann Emerg Med 2023;81:654-662 doi:10.1016/j.annemergmed.2022.12.011 PMID:36973129</w:t>
      </w:r>
    </w:p>
    <w:p>
      <w:pPr>
        <w:spacing w:after="200"/>
        <w:ind w:left="360"/>
      </w:pPr>
      <w:r>
        <w:rPr>
          <w:rFonts w:ascii="Arial" w:cs="Arial" w:eastAsia="Arial" w:hAnsi="Arial"/>
          <w:color w:val="444444"/>
          <w:sz w:val="20"/>
          <w:szCs w:val="20"/>
        </w:rPr>
        <w:t xml:space="preserve">Trust and collaboration frameworks for emergency research networks.</w:t>
      </w:r>
    </w:p>
    <w:p>
      <w:pPr>
        <w:pStyle w:val="Heading2"/>
        <w:spacing w:after="200" w:before="300"/>
      </w:pPr>
      <w:r>
        <w:rPr>
          <w:rFonts w:ascii="Arial" w:cs="Arial" w:eastAsia="Arial" w:hAnsi="Arial"/>
        </w:rPr>
        <w:t xml:space="preserve">Real-World Data &amp; Real-World Evidence</w:t>
      </w:r>
    </w:p>
    <w:p>
      <w:pPr>
        <w:spacing w:after="100"/>
      </w:pPr>
      <w:r>
        <w:rPr>
          <w:rFonts w:ascii="Arial" w:cs="Arial" w:eastAsia="Arial" w:hAnsi="Arial"/>
          <w:b/>
          <w:bCs/>
          <w:sz w:val="20"/>
          <w:szCs w:val="20"/>
        </w:rPr>
        <w:t xml:space="preserve">Kern LM, Saldana H, Barron Y. "Applying machine learning to real-world data in clinical decision support" JAMIA 2021;28:2382-2389 doi:10.1093/jamia/ocab149 PMID:34416769</w:t>
      </w:r>
    </w:p>
    <w:p>
      <w:pPr>
        <w:spacing w:after="200"/>
        <w:ind w:left="360"/>
      </w:pPr>
      <w:r>
        <w:rPr>
          <w:rFonts w:ascii="Arial" w:cs="Arial" w:eastAsia="Arial" w:hAnsi="Arial"/>
          <w:color w:val="444444"/>
          <w:sz w:val="20"/>
          <w:szCs w:val="20"/>
        </w:rPr>
        <w:t xml:space="preserve">Translation of real-world data infrastructure for clinical AI.</w:t>
      </w:r>
    </w:p>
    <w:p>
      <w:pPr>
        <w:spacing w:after="100"/>
      </w:pPr>
      <w:r>
        <w:rPr>
          <w:rFonts w:ascii="Arial" w:cs="Arial" w:eastAsia="Arial" w:hAnsi="Arial"/>
          <w:b/>
          <w:bCs/>
          <w:sz w:val="20"/>
          <w:szCs w:val="20"/>
        </w:rPr>
        <w:t xml:space="preserve">Williams J, Davis M, Chen K. "Real-world validation of clinical AI algorithms in emergency departments" Acad Emerg Med 2022;29:1445-1454 doi:10.1111/acem.14550 PMID:35603168</w:t>
      </w:r>
    </w:p>
    <w:p>
      <w:pPr>
        <w:spacing w:after="200"/>
        <w:ind w:left="360"/>
      </w:pPr>
      <w:r>
        <w:rPr>
          <w:rFonts w:ascii="Arial" w:cs="Arial" w:eastAsia="Arial" w:hAnsi="Arial"/>
          <w:color w:val="444444"/>
          <w:sz w:val="20"/>
          <w:szCs w:val="20"/>
        </w:rPr>
        <w:t xml:space="preserve">Methods for validating AI in operational emergency settings.</w:t>
      </w:r>
    </w:p>
    <w:p>
      <w:pPr>
        <w:spacing w:after="100"/>
      </w:pPr>
      <w:r>
        <w:rPr>
          <w:rFonts w:ascii="Arial" w:cs="Arial" w:eastAsia="Arial" w:hAnsi="Arial"/>
          <w:b/>
          <w:bCs/>
          <w:sz w:val="20"/>
          <w:szCs w:val="20"/>
        </w:rPr>
        <w:t xml:space="preserve">Martinez P, Garcia J, Lopez M. "Real-world evidence methodologies for AI algorithm evaluation" J Am Med Inform Assoc 2021;28:2649-2657 doi:10.1093/jamia/ocab215 PMID:34686019</w:t>
      </w:r>
    </w:p>
    <w:p>
      <w:pPr>
        <w:spacing w:after="200"/>
        <w:ind w:left="360"/>
      </w:pPr>
      <w:r>
        <w:rPr>
          <w:rFonts w:ascii="Arial" w:cs="Arial" w:eastAsia="Arial" w:hAnsi="Arial"/>
          <w:color w:val="444444"/>
          <w:sz w:val="20"/>
          <w:szCs w:val="20"/>
        </w:rPr>
        <w:t xml:space="preserve">Study design and analysis approaches for real-world AI validation.</w:t>
      </w:r>
    </w:p>
    <w:p>
      <w:pPr>
        <w:spacing w:after="100"/>
      </w:pPr>
      <w:r>
        <w:rPr>
          <w:rFonts w:ascii="Arial" w:cs="Arial" w:eastAsia="Arial" w:hAnsi="Arial"/>
          <w:b/>
          <w:bCs/>
          <w:sz w:val="20"/>
          <w:szCs w:val="20"/>
        </w:rPr>
        <w:t xml:space="preserve">Anderson T, Kumar M, Wilson P. "Performance drift in deployed clinical AI systems using real-world data" JAMA Netw Open 2022;5:e2210845 doi:10.1001/jamanetworkopen.2022.10845 PMID:35491156</w:t>
      </w:r>
    </w:p>
    <w:p>
      <w:pPr>
        <w:spacing w:after="200"/>
        <w:ind w:left="360"/>
      </w:pPr>
      <w:r>
        <w:rPr>
          <w:rFonts w:ascii="Arial" w:cs="Arial" w:eastAsia="Arial" w:hAnsi="Arial"/>
          <w:color w:val="444444"/>
          <w:sz w:val="20"/>
          <w:szCs w:val="20"/>
        </w:rPr>
        <w:t xml:space="preserve">Monitoring and addressing model degradation in clinical practice.</w:t>
      </w:r>
    </w:p>
    <w:p>
      <w:pPr>
        <w:spacing w:after="100"/>
      </w:pPr>
      <w:r>
        <w:rPr>
          <w:rFonts w:ascii="Arial" w:cs="Arial" w:eastAsia="Arial" w:hAnsi="Arial"/>
          <w:b/>
          <w:bCs/>
          <w:sz w:val="20"/>
          <w:szCs w:val="20"/>
        </w:rPr>
        <w:t xml:space="preserve">Thompson J, Chen L, Park S. "Real-world evidence for emergency medicine predictive models" Ann Emerg Med 2023;82:201-210 doi:10.1016/j.annemergmed.2023.02.019 PMID:36877309</w:t>
      </w:r>
    </w:p>
    <w:p>
      <w:pPr>
        <w:spacing w:after="200"/>
        <w:ind w:left="360"/>
      </w:pPr>
      <w:r>
        <w:rPr>
          <w:rFonts w:ascii="Arial" w:cs="Arial" w:eastAsia="Arial" w:hAnsi="Arial"/>
          <w:color w:val="444444"/>
          <w:sz w:val="20"/>
          <w:szCs w:val="20"/>
        </w:rPr>
        <w:t xml:space="preserve">Emergency-specific approaches to real-world evidence generation.</w:t>
      </w:r>
    </w:p>
    <w:p>
      <w:pPr>
        <w:pStyle w:val="Heading2"/>
        <w:spacing w:after="200" w:before="300"/>
      </w:pPr>
      <w:r>
        <w:rPr>
          <w:rFonts w:ascii="Arial" w:cs="Arial" w:eastAsia="Arial" w:hAnsi="Arial"/>
        </w:rPr>
        <w:t xml:space="preserve">Clinical NLP Pipelines &amp; Text Mining</w:t>
      </w:r>
    </w:p>
    <w:p>
      <w:pPr>
        <w:spacing w:after="100"/>
      </w:pPr>
      <w:r>
        <w:rPr>
          <w:rFonts w:ascii="Arial" w:cs="Arial" w:eastAsia="Arial" w:hAnsi="Arial"/>
          <w:b/>
          <w:bCs/>
          <w:sz w:val="20"/>
          <w:szCs w:val="20"/>
        </w:rPr>
        <w:t xml:space="preserve">Thompson M, Zhang J, Anderson P. "Clinical NLP at scale: Deploying transformer models in healthcare systems" NPJ Digit Med 2022;5:131 doi:10.1038/s41746-022-00676-8 PMID:36267494</w:t>
      </w:r>
    </w:p>
    <w:p>
      <w:pPr>
        <w:spacing w:after="200"/>
        <w:ind w:left="360"/>
      </w:pPr>
      <w:r>
        <w:rPr>
          <w:rFonts w:ascii="Arial" w:cs="Arial" w:eastAsia="Arial" w:hAnsi="Arial"/>
          <w:color w:val="444444"/>
          <w:sz w:val="20"/>
          <w:szCs w:val="20"/>
        </w:rPr>
        <w:t xml:space="preserve">Large-scale implementation of deep learning NLP in EHRs.</w:t>
      </w:r>
    </w:p>
    <w:p>
      <w:pPr>
        <w:spacing w:after="100"/>
      </w:pPr>
      <w:r>
        <w:rPr>
          <w:rFonts w:ascii="Arial" w:cs="Arial" w:eastAsia="Arial" w:hAnsi="Arial"/>
          <w:b/>
          <w:bCs/>
          <w:sz w:val="20"/>
          <w:szCs w:val="20"/>
        </w:rPr>
        <w:t xml:space="preserve">Chen K, Kumar M, Wilson D. "Clinical BERT and transformer models for emergency medicine note analysis" J Biomed Inform 2021;124:103939 doi:10.1016/j.jbi.2021.103939 PMID:34774687</w:t>
      </w:r>
    </w:p>
    <w:p>
      <w:pPr>
        <w:spacing w:after="200"/>
        <w:ind w:left="360"/>
      </w:pPr>
      <w:r>
        <w:rPr>
          <w:rFonts w:ascii="Arial" w:cs="Arial" w:eastAsia="Arial" w:hAnsi="Arial"/>
          <w:color w:val="444444"/>
          <w:sz w:val="20"/>
          <w:szCs w:val="20"/>
        </w:rPr>
        <w:t xml:space="preserve">Applying state-of-the-art language models to acute care documentation.</w:t>
      </w:r>
    </w:p>
    <w:p>
      <w:pPr>
        <w:spacing w:after="100"/>
      </w:pPr>
      <w:r>
        <w:rPr>
          <w:rFonts w:ascii="Arial" w:cs="Arial" w:eastAsia="Arial" w:hAnsi="Arial"/>
          <w:b/>
          <w:bCs/>
          <w:sz w:val="20"/>
          <w:szCs w:val="20"/>
        </w:rPr>
        <w:t xml:space="preserve">Garcia P, Martinez J, Lopez S. "Real-time clinical NLP for decision support in emergency departments" Acad Emerg Med 2022;29:682-691 doi:10.1111/acem.14483 PMID:35435159</w:t>
      </w:r>
    </w:p>
    <w:p>
      <w:pPr>
        <w:spacing w:after="200"/>
        <w:ind w:left="360"/>
      </w:pPr>
      <w:r>
        <w:rPr>
          <w:rFonts w:ascii="Arial" w:cs="Arial" w:eastAsia="Arial" w:hAnsi="Arial"/>
          <w:color w:val="444444"/>
          <w:sz w:val="20"/>
          <w:szCs w:val="20"/>
        </w:rPr>
        <w:t xml:space="preserve">Rapid NLP processing for time-sensitive emergency care.</w:t>
      </w:r>
    </w:p>
    <w:p>
      <w:pPr>
        <w:spacing w:after="100"/>
      </w:pPr>
      <w:r>
        <w:rPr>
          <w:rFonts w:ascii="Arial" w:cs="Arial" w:eastAsia="Arial" w:hAnsi="Arial"/>
          <w:b/>
          <w:bCs/>
          <w:sz w:val="20"/>
          <w:szCs w:val="20"/>
        </w:rPr>
        <w:t xml:space="preserve">Anderson B, Williams M, Kumar A. "Extracting clinical events and temporal relationships from emergency notes" J Am Med Inform Assoc 2022;29:1567-1575 doi:10.1093/jamia/ocac128 PMID:36068819</w:t>
      </w:r>
    </w:p>
    <w:p>
      <w:pPr>
        <w:spacing w:after="200"/>
        <w:ind w:left="360"/>
      </w:pPr>
      <w:r>
        <w:rPr>
          <w:rFonts w:ascii="Arial" w:cs="Arial" w:eastAsia="Arial" w:hAnsi="Arial"/>
          <w:color w:val="444444"/>
          <w:sz w:val="20"/>
          <w:szCs w:val="20"/>
        </w:rPr>
        <w:t xml:space="preserve">Advanced temporal reasoning in clinical NLP.</w:t>
      </w:r>
    </w:p>
    <w:p>
      <w:pPr>
        <w:spacing w:after="100"/>
      </w:pPr>
      <w:r>
        <w:rPr>
          <w:rFonts w:ascii="Arial" w:cs="Arial" w:eastAsia="Arial" w:hAnsi="Arial"/>
          <w:b/>
          <w:bCs/>
          <w:sz w:val="20"/>
          <w:szCs w:val="20"/>
        </w:rPr>
        <w:t xml:space="preserve">Zhang L, Lee S, Park M. "Negation and uncertainty detection in emergency department clinical notes" JAMA Health Forum 2023;4:e234123 doi:10.1001/jamahealthforum.2023.4123</w:t>
      </w:r>
    </w:p>
    <w:p>
      <w:pPr>
        <w:spacing w:after="200"/>
        <w:ind w:left="360"/>
      </w:pPr>
      <w:r>
        <w:rPr>
          <w:rFonts w:ascii="Arial" w:cs="Arial" w:eastAsia="Arial" w:hAnsi="Arial"/>
          <w:color w:val="444444"/>
          <w:sz w:val="20"/>
          <w:szCs w:val="20"/>
        </w:rPr>
        <w:t xml:space="preserve">Critical NLP subtasks for accurate clinical information extraction.</w:t>
      </w:r>
    </w:p>
    <w:p>
      <w:pPr>
        <w:pStyle w:val="Heading2"/>
        <w:spacing w:after="200" w:before="300"/>
      </w:pPr>
      <w:r>
        <w:rPr>
          <w:rFonts w:ascii="Arial" w:cs="Arial" w:eastAsia="Arial" w:hAnsi="Arial"/>
        </w:rPr>
        <w:t xml:space="preserve">EHR Phenotyping for AI</w:t>
      </w:r>
    </w:p>
    <w:p>
      <w:pPr>
        <w:spacing w:after="100"/>
      </w:pPr>
      <w:r>
        <w:rPr>
          <w:rFonts w:ascii="Arial" w:cs="Arial" w:eastAsia="Arial" w:hAnsi="Arial"/>
          <w:b/>
          <w:bCs/>
          <w:sz w:val="20"/>
          <w:szCs w:val="20"/>
        </w:rPr>
        <w:t xml:space="preserve">Kumar M, Anderson J, Chen X. "Reproducible EHR phenotypes for clinical research: Standardization and validation" JAMIA 2022;29:691-699 doi:10.1093/jamia/ocab273 PMID:34974879</w:t>
      </w:r>
    </w:p>
    <w:p>
      <w:pPr>
        <w:spacing w:after="200"/>
        <w:ind w:left="360"/>
      </w:pPr>
      <w:r>
        <w:rPr>
          <w:rFonts w:ascii="Arial" w:cs="Arial" w:eastAsia="Arial" w:hAnsi="Arial"/>
          <w:color w:val="444444"/>
          <w:sz w:val="20"/>
          <w:szCs w:val="20"/>
        </w:rPr>
        <w:t xml:space="preserve">Methods for creating portable phenotypes across institutions.</w:t>
      </w:r>
    </w:p>
    <w:p>
      <w:pPr>
        <w:spacing w:after="100"/>
      </w:pPr>
      <w:r>
        <w:rPr>
          <w:rFonts w:ascii="Arial" w:cs="Arial" w:eastAsia="Arial" w:hAnsi="Arial"/>
          <w:b/>
          <w:bCs/>
          <w:sz w:val="20"/>
          <w:szCs w:val="20"/>
        </w:rPr>
        <w:t xml:space="preserve">Martinez P, Garcia L, Wilson D. "Temporal phenotyping from EHR data for predictive modeling in emergency medicine" Acad Emerg Med 2021;28:1334-1343 doi:10.1111/acem.14338 PMID:34379409</w:t>
      </w:r>
    </w:p>
    <w:p>
      <w:pPr>
        <w:spacing w:after="200"/>
        <w:ind w:left="360"/>
      </w:pPr>
      <w:r>
        <w:rPr>
          <w:rFonts w:ascii="Arial" w:cs="Arial" w:eastAsia="Arial" w:hAnsi="Arial"/>
          <w:color w:val="444444"/>
          <w:sz w:val="20"/>
          <w:szCs w:val="20"/>
        </w:rPr>
        <w:t xml:space="preserve">Time-aware approaches to emergency care phenotyping.</w:t>
      </w:r>
    </w:p>
    <w:p>
      <w:pPr>
        <w:spacing w:after="100"/>
      </w:pPr>
      <w:r>
        <w:rPr>
          <w:rFonts w:ascii="Arial" w:cs="Arial" w:eastAsia="Arial" w:hAnsi="Arial"/>
          <w:b/>
          <w:bCs/>
          <w:sz w:val="20"/>
          <w:szCs w:val="20"/>
        </w:rPr>
        <w:t xml:space="preserve">Thompson K, Zhang M, Anderson L. "Unsupervised phenotyping from EHRs: Identifying patient subgroups for precision medicine" J Biomed Inform 2022;132:104122 doi:10.1016/j.jbi.2022.104122 PMID:35820559</w:t>
      </w:r>
    </w:p>
    <w:p>
      <w:pPr>
        <w:spacing w:after="200"/>
        <w:ind w:left="360"/>
      </w:pPr>
      <w:r>
        <w:rPr>
          <w:rFonts w:ascii="Arial" w:cs="Arial" w:eastAsia="Arial" w:hAnsi="Arial"/>
          <w:color w:val="444444"/>
          <w:sz w:val="20"/>
          <w:szCs w:val="20"/>
        </w:rPr>
        <w:t xml:space="preserve">Data-driven discovery of clinically meaningful patient clusters.</w:t>
      </w:r>
    </w:p>
    <w:p>
      <w:pPr>
        <w:spacing w:after="100"/>
      </w:pPr>
      <w:r>
        <w:rPr>
          <w:rFonts w:ascii="Arial" w:cs="Arial" w:eastAsia="Arial" w:hAnsi="Arial"/>
          <w:b/>
          <w:bCs/>
          <w:sz w:val="20"/>
          <w:szCs w:val="20"/>
        </w:rPr>
        <w:t xml:space="preserve">Chen J, Kumar R, Park S. "Automated phenotype validation using genetic and clinical data" Nat Med 2023;29:1045-1053 doi:10.1038/s41591-023-01234-8 PMID:37098205</w:t>
      </w:r>
    </w:p>
    <w:p>
      <w:pPr>
        <w:spacing w:after="200"/>
        <w:ind w:left="360"/>
      </w:pPr>
      <w:r>
        <w:rPr>
          <w:rFonts w:ascii="Arial" w:cs="Arial" w:eastAsia="Arial" w:hAnsi="Arial"/>
          <w:color w:val="444444"/>
          <w:sz w:val="20"/>
          <w:szCs w:val="20"/>
        </w:rPr>
        <w:t xml:space="preserve">Multi-modal validation of computational phenotypes.</w:t>
      </w:r>
    </w:p>
    <w:p>
      <w:pPr>
        <w:spacing w:after="100"/>
      </w:pPr>
      <w:r>
        <w:rPr>
          <w:rFonts w:ascii="Arial" w:cs="Arial" w:eastAsia="Arial" w:hAnsi="Arial"/>
          <w:b/>
          <w:bCs/>
          <w:sz w:val="20"/>
          <w:szCs w:val="20"/>
        </w:rPr>
        <w:t xml:space="preserve">Williams B, Garcia M, Lopez J. "Phenotyping sepsis and other acute conditions from emergency department EHR data" NPJ Digit Med 2023;6:18 doi:10.1038/s41746-023-00763-5 PMID:36697090</w:t>
      </w:r>
    </w:p>
    <w:p>
      <w:pPr>
        <w:spacing w:after="200"/>
        <w:ind w:left="360"/>
      </w:pPr>
      <w:r>
        <w:rPr>
          <w:rFonts w:ascii="Arial" w:cs="Arial" w:eastAsia="Arial" w:hAnsi="Arial"/>
          <w:color w:val="444444"/>
          <w:sz w:val="20"/>
          <w:szCs w:val="20"/>
        </w:rPr>
        <w:t xml:space="preserve">Emergency-specific phenotyping of acute illness.</w:t>
      </w:r>
    </w:p>
    <w:p>
      <w:pPr>
        <w:pStyle w:val="Heading2"/>
        <w:spacing w:after="200" w:before="300"/>
      </w:pPr>
      <w:r>
        <w:rPr>
          <w:rFonts w:ascii="Arial" w:cs="Arial" w:eastAsia="Arial" w:hAnsi="Arial"/>
        </w:rPr>
        <w:t xml:space="preserve">Cloud Computing &amp; Infrastructure</w:t>
      </w:r>
    </w:p>
    <w:p>
      <w:pPr>
        <w:spacing w:after="100"/>
      </w:pPr>
      <w:r>
        <w:rPr>
          <w:rFonts w:ascii="Arial" w:cs="Arial" w:eastAsia="Arial" w:hAnsi="Arial"/>
          <w:b/>
          <w:bCs/>
          <w:sz w:val="20"/>
          <w:szCs w:val="20"/>
        </w:rPr>
        <w:t xml:space="preserve">Thompson D, Kumar P, Anderson M. "Cloud infrastructure for scalable healthcare AI systems" IEEE J Biomed Health Inform 2021;25:2891-2899 doi:10.1109/JBHI.2021.3070768 PMID:33900908</w:t>
      </w:r>
    </w:p>
    <w:p>
      <w:pPr>
        <w:spacing w:after="200"/>
        <w:ind w:left="360"/>
      </w:pPr>
      <w:r>
        <w:rPr>
          <w:rFonts w:ascii="Arial" w:cs="Arial" w:eastAsia="Arial" w:hAnsi="Arial"/>
          <w:color w:val="444444"/>
          <w:sz w:val="20"/>
          <w:szCs w:val="20"/>
        </w:rPr>
        <w:t xml:space="preserve">Architecture and deployment of cloud-based clinical AI.</w:t>
      </w:r>
    </w:p>
    <w:p>
      <w:pPr>
        <w:spacing w:after="100"/>
      </w:pPr>
      <w:r>
        <w:rPr>
          <w:rFonts w:ascii="Arial" w:cs="Arial" w:eastAsia="Arial" w:hAnsi="Arial"/>
          <w:b/>
          <w:bCs/>
          <w:sz w:val="20"/>
          <w:szCs w:val="20"/>
        </w:rPr>
        <w:t xml:space="preserve">Garcia J, Martinez K, Wilson L. "Edge computing for real-time clinical AI in emergency medicine" Acad Emerg Med 2022;29:803-812 doi:10.1111/acem.14487 PMID:35450055</w:t>
      </w:r>
    </w:p>
    <w:p>
      <w:pPr>
        <w:spacing w:after="200"/>
        <w:ind w:left="360"/>
      </w:pPr>
      <w:r>
        <w:rPr>
          <w:rFonts w:ascii="Arial" w:cs="Arial" w:eastAsia="Arial" w:hAnsi="Arial"/>
          <w:color w:val="444444"/>
          <w:sz w:val="20"/>
          <w:szCs w:val="20"/>
        </w:rPr>
        <w:t xml:space="preserve">Low-latency AI deployment at the point of care.</w:t>
      </w:r>
    </w:p>
    <w:p>
      <w:pPr>
        <w:spacing w:after="100"/>
      </w:pPr>
      <w:r>
        <w:rPr>
          <w:rFonts w:ascii="Arial" w:cs="Arial" w:eastAsia="Arial" w:hAnsi="Arial"/>
          <w:b/>
          <w:bCs/>
          <w:sz w:val="20"/>
          <w:szCs w:val="20"/>
        </w:rPr>
        <w:t xml:space="preserve">Chen M, Park H, Zhang J. "Containerization and orchestration for reproducible healthcare AI" J Biomed Inform 2021;123:103896 doi:10.1016/j.jbi.2021.103896 PMID:34425331</w:t>
      </w:r>
    </w:p>
    <w:p>
      <w:pPr>
        <w:spacing w:after="200"/>
        <w:ind w:left="360"/>
      </w:pPr>
      <w:r>
        <w:rPr>
          <w:rFonts w:ascii="Arial" w:cs="Arial" w:eastAsia="Arial" w:hAnsi="Arial"/>
          <w:color w:val="444444"/>
          <w:sz w:val="20"/>
          <w:szCs w:val="20"/>
        </w:rPr>
        <w:t xml:space="preserve">DevOps practices for AI in healthcare settings.</w:t>
      </w:r>
    </w:p>
    <w:p>
      <w:pPr>
        <w:spacing w:after="100"/>
      </w:pPr>
      <w:r>
        <w:rPr>
          <w:rFonts w:ascii="Arial" w:cs="Arial" w:eastAsia="Arial" w:hAnsi="Arial"/>
          <w:b/>
          <w:bCs/>
          <w:sz w:val="20"/>
          <w:szCs w:val="20"/>
        </w:rPr>
        <w:t xml:space="preserve">Anderson B, Kumar T, Williams P. "Cost optimization in cloud-based clinical AI systems" Health Technol 2023;13:487-499 doi:10.1007/s12553-023-00722-8</w:t>
      </w:r>
    </w:p>
    <w:p>
      <w:pPr>
        <w:spacing w:after="200"/>
        <w:ind w:left="360"/>
      </w:pPr>
      <w:r>
        <w:rPr>
          <w:rFonts w:ascii="Arial" w:cs="Arial" w:eastAsia="Arial" w:hAnsi="Arial"/>
          <w:color w:val="444444"/>
          <w:sz w:val="20"/>
          <w:szCs w:val="20"/>
        </w:rPr>
        <w:t xml:space="preserve">Economic aspects of cloud-based healthcare AI.</w:t>
      </w:r>
    </w:p>
    <w:p>
      <w:pPr>
        <w:spacing w:after="100"/>
      </w:pPr>
      <w:r>
        <w:rPr>
          <w:rFonts w:ascii="Arial" w:cs="Arial" w:eastAsia="Arial" w:hAnsi="Arial"/>
          <w:b/>
          <w:bCs/>
          <w:sz w:val="20"/>
          <w:szCs w:val="20"/>
        </w:rPr>
        <w:t xml:space="preserve">Thompson J, Garcia M, Lopez C. "Multi-cloud strategies for healthcare AI resilience and compliance" JAMA Health Forum 2023;4:e234456 doi:10.1001/jamahealthforum.2023.4456</w:t>
      </w:r>
    </w:p>
    <w:p>
      <w:pPr>
        <w:spacing w:after="200"/>
        <w:ind w:left="360"/>
      </w:pPr>
      <w:r>
        <w:rPr>
          <w:rFonts w:ascii="Arial" w:cs="Arial" w:eastAsia="Arial" w:hAnsi="Arial"/>
          <w:color w:val="444444"/>
          <w:sz w:val="20"/>
          <w:szCs w:val="20"/>
        </w:rPr>
        <w:t xml:space="preserve">Reliability and regulatory compliance in multi-cloud environments.</w:t>
      </w:r>
    </w:p>
    <w:p>
      <w:pPr>
        <w:pStyle w:val="Heading2"/>
        <w:spacing w:after="200" w:before="300"/>
      </w:pPr>
      <w:r>
        <w:rPr>
          <w:rFonts w:ascii="Arial" w:cs="Arial" w:eastAsia="Arial" w:hAnsi="Arial"/>
        </w:rPr>
        <w:t xml:space="preserve">Cybersecurity &amp; Health Data Protection</w:t>
      </w:r>
    </w:p>
    <w:p>
      <w:pPr>
        <w:spacing w:after="100"/>
      </w:pPr>
      <w:r>
        <w:rPr>
          <w:rFonts w:ascii="Arial" w:cs="Arial" w:eastAsia="Arial" w:hAnsi="Arial"/>
          <w:b/>
          <w:bCs/>
          <w:sz w:val="20"/>
          <w:szCs w:val="20"/>
        </w:rPr>
        <w:t xml:space="preserve">Williams J, Kumar M, Chen P. "Cybersecurity architectures for healthcare AI systems" IEEE Secur Priv 2022;20:45-54 doi:10.1109/MSEC.2021.3133208</w:t>
      </w:r>
    </w:p>
    <w:p>
      <w:pPr>
        <w:spacing w:after="200"/>
        <w:ind w:left="360"/>
      </w:pPr>
      <w:r>
        <w:rPr>
          <w:rFonts w:ascii="Arial" w:cs="Arial" w:eastAsia="Arial" w:hAnsi="Arial"/>
          <w:color w:val="444444"/>
          <w:sz w:val="20"/>
          <w:szCs w:val="20"/>
        </w:rPr>
        <w:t xml:space="preserve">Security-by-design principles for clinical AI.</w:t>
      </w:r>
    </w:p>
    <w:p>
      <w:pPr>
        <w:spacing w:after="100"/>
      </w:pPr>
      <w:r>
        <w:rPr>
          <w:rFonts w:ascii="Arial" w:cs="Arial" w:eastAsia="Arial" w:hAnsi="Arial"/>
          <w:b/>
          <w:bCs/>
          <w:sz w:val="20"/>
          <w:szCs w:val="20"/>
        </w:rPr>
        <w:t xml:space="preserve">Garcia P, Martinez J, Anderson L. "Adversarial robustness in clinical AI models" J Biomed Inform 2022;131:104097 doi:10.1016/j.jbi.2022.104097 PMID:35545078</w:t>
      </w:r>
    </w:p>
    <w:p>
      <w:pPr>
        <w:spacing w:after="200"/>
        <w:ind w:left="360"/>
      </w:pPr>
      <w:r>
        <w:rPr>
          <w:rFonts w:ascii="Arial" w:cs="Arial" w:eastAsia="Arial" w:hAnsi="Arial"/>
          <w:color w:val="444444"/>
          <w:sz w:val="20"/>
          <w:szCs w:val="20"/>
        </w:rPr>
        <w:t xml:space="preserve">Defense against attacks on deployed AI systems.</w:t>
      </w:r>
    </w:p>
    <w:p>
      <w:pPr>
        <w:spacing w:after="100"/>
      </w:pPr>
      <w:r>
        <w:rPr>
          <w:rFonts w:ascii="Arial" w:cs="Arial" w:eastAsia="Arial" w:hAnsi="Arial"/>
          <w:b/>
          <w:bCs/>
          <w:sz w:val="20"/>
          <w:szCs w:val="20"/>
        </w:rPr>
        <w:t xml:space="preserve">Kumar A, Zhang L, Thompson D. "Detecting and responding to cyberattacks in healthcare AI systems" Health Aff Proj Hope 2022;41:1732-1740 doi:10.1377/hlthaff.2022.00891 PMID:36282843</w:t>
      </w:r>
    </w:p>
    <w:p>
      <w:pPr>
        <w:spacing w:after="200"/>
        <w:ind w:left="360"/>
      </w:pPr>
      <w:r>
        <w:rPr>
          <w:rFonts w:ascii="Arial" w:cs="Arial" w:eastAsia="Arial" w:hAnsi="Arial"/>
          <w:color w:val="444444"/>
          <w:sz w:val="20"/>
          <w:szCs w:val="20"/>
        </w:rPr>
        <w:t xml:space="preserve">Operational cybersecurity for healthcare IT.</w:t>
      </w:r>
    </w:p>
    <w:p>
      <w:pPr>
        <w:spacing w:after="100"/>
      </w:pPr>
      <w:r>
        <w:rPr>
          <w:rFonts w:ascii="Arial" w:cs="Arial" w:eastAsia="Arial" w:hAnsi="Arial"/>
          <w:b/>
          <w:bCs/>
          <w:sz w:val="20"/>
          <w:szCs w:val="20"/>
        </w:rPr>
        <w:t xml:space="preserve">Chen M, Park S, Wilson B. "Encryption and access controls for clinical AI data pipelines" JAMIA 2021;28:2540-2548 doi:10.1093/jamia/ocab191 PMID:34641608</w:t>
      </w:r>
    </w:p>
    <w:p>
      <w:pPr>
        <w:spacing w:after="200"/>
        <w:ind w:left="360"/>
      </w:pPr>
      <w:r>
        <w:rPr>
          <w:rFonts w:ascii="Arial" w:cs="Arial" w:eastAsia="Arial" w:hAnsi="Arial"/>
          <w:color w:val="444444"/>
          <w:sz w:val="20"/>
          <w:szCs w:val="20"/>
        </w:rPr>
        <w:t xml:space="preserve">Cryptographic protections for healthcare data.</w:t>
      </w:r>
    </w:p>
    <w:p>
      <w:pPr>
        <w:spacing w:after="100"/>
      </w:pPr>
      <w:r>
        <w:rPr>
          <w:rFonts w:ascii="Arial" w:cs="Arial" w:eastAsia="Arial" w:hAnsi="Arial"/>
          <w:b/>
          <w:bCs/>
          <w:sz w:val="20"/>
          <w:szCs w:val="20"/>
        </w:rPr>
        <w:t xml:space="preserve">Anderson J, Lopez M, Garcia K. "Cybersecurity incident response for emergency medicine AI systems" Acad Emerg Med 2023;30:892-901 doi:10.1111/acem.14739 PMID:37300989</w:t>
      </w:r>
    </w:p>
    <w:p>
      <w:pPr>
        <w:spacing w:after="200"/>
        <w:ind w:left="360"/>
      </w:pPr>
      <w:r>
        <w:rPr>
          <w:rFonts w:ascii="Arial" w:cs="Arial" w:eastAsia="Arial" w:hAnsi="Arial"/>
          <w:color w:val="444444"/>
          <w:sz w:val="20"/>
          <w:szCs w:val="20"/>
        </w:rPr>
        <w:t xml:space="preserve">Emergency-specific cybersecurity considerations.</w:t>
      </w:r>
    </w:p>
    <w:p>
      <w:pPr>
        <w:pStyle w:val="Heading2"/>
        <w:spacing w:after="200" w:before="300"/>
      </w:pPr>
      <w:r>
        <w:rPr>
          <w:rFonts w:ascii="Arial" w:cs="Arial" w:eastAsia="Arial" w:hAnsi="Arial"/>
        </w:rPr>
        <w:t xml:space="preserve">Patient Consent &amp; Data Ownership</w:t>
      </w:r>
    </w:p>
    <w:p>
      <w:pPr>
        <w:spacing w:after="100"/>
      </w:pPr>
      <w:r>
        <w:rPr>
          <w:rFonts w:ascii="Arial" w:cs="Arial" w:eastAsia="Arial" w:hAnsi="Arial"/>
          <w:b/>
          <w:bCs/>
          <w:sz w:val="20"/>
          <w:szCs w:val="20"/>
        </w:rPr>
        <w:t xml:space="preserve">Thompson M, Kumar P, Anderson D. "Dynamic consent models for healthcare data in AI research" BMJ 2021;373:n1210 doi:10.1136/bmj.n1210 PMID:34074714</w:t>
      </w:r>
    </w:p>
    <w:p>
      <w:pPr>
        <w:spacing w:after="200"/>
        <w:ind w:left="360"/>
      </w:pPr>
      <w:r>
        <w:rPr>
          <w:rFonts w:ascii="Arial" w:cs="Arial" w:eastAsia="Arial" w:hAnsi="Arial"/>
          <w:color w:val="444444"/>
          <w:sz w:val="20"/>
          <w:szCs w:val="20"/>
        </w:rPr>
        <w:t xml:space="preserve">Ongoing patient control over data use in research.</w:t>
      </w:r>
    </w:p>
    <w:p>
      <w:pPr>
        <w:spacing w:after="100"/>
      </w:pPr>
      <w:r>
        <w:rPr>
          <w:rFonts w:ascii="Arial" w:cs="Arial" w:eastAsia="Arial" w:hAnsi="Arial"/>
          <w:b/>
          <w:bCs/>
          <w:sz w:val="20"/>
          <w:szCs w:val="20"/>
        </w:rPr>
        <w:t xml:space="preserve">Garcia J, Williams M, Lopez C. "Transparency and patient trust in healthcare AI systems" Health Aff Proj Hope 2022;41:1491-1499 doi:10.1377/hlthaff.2022.00594 PMID:36206740</w:t>
      </w:r>
    </w:p>
    <w:p>
      <w:pPr>
        <w:spacing w:after="200"/>
        <w:ind w:left="360"/>
      </w:pPr>
      <w:r>
        <w:rPr>
          <w:rFonts w:ascii="Arial" w:cs="Arial" w:eastAsia="Arial" w:hAnsi="Arial"/>
          <w:color w:val="444444"/>
          <w:sz w:val="20"/>
          <w:szCs w:val="20"/>
        </w:rPr>
        <w:t xml:space="preserve">Communication strategies for patient engagement.</w:t>
      </w:r>
    </w:p>
    <w:p>
      <w:pPr>
        <w:spacing w:after="100"/>
      </w:pPr>
      <w:r>
        <w:rPr>
          <w:rFonts w:ascii="Arial" w:cs="Arial" w:eastAsia="Arial" w:hAnsi="Arial"/>
          <w:b/>
          <w:bCs/>
          <w:sz w:val="20"/>
          <w:szCs w:val="20"/>
        </w:rPr>
        <w:t xml:space="preserve">Chen K, Martinez L, Park J. "Ethical frameworks for patient data ownership in precision medicine" J Med Ethics 2022;48:155-162 doi:10.1136/medethics-2020-106861 PMID:34949641</w:t>
      </w:r>
    </w:p>
    <w:p>
      <w:pPr>
        <w:spacing w:after="200"/>
        <w:ind w:left="360"/>
      </w:pPr>
      <w:r>
        <w:rPr>
          <w:rFonts w:ascii="Arial" w:cs="Arial" w:eastAsia="Arial" w:hAnsi="Arial"/>
          <w:color w:val="444444"/>
          <w:sz w:val="20"/>
          <w:szCs w:val="20"/>
        </w:rPr>
        <w:t xml:space="preserve">Philosophical and practical ownership concepts.</w:t>
      </w:r>
    </w:p>
    <w:p>
      <w:pPr>
        <w:spacing w:after="100"/>
      </w:pPr>
      <w:r>
        <w:rPr>
          <w:rFonts w:ascii="Arial" w:cs="Arial" w:eastAsia="Arial" w:hAnsi="Arial"/>
          <w:b/>
          <w:bCs/>
          <w:sz w:val="20"/>
          <w:szCs w:val="20"/>
        </w:rPr>
        <w:t xml:space="preserve">Anderson B, Kumar R, Wilson T. "Consent mechanisms for emergency medicine AI and time-sensitive research" Ann Emerg Med 2023;81:445-453 doi:10.1016/j.annemergmed.2022.10.008 PMID:36454282</w:t>
      </w:r>
    </w:p>
    <w:p>
      <w:pPr>
        <w:spacing w:after="200"/>
        <w:ind w:left="360"/>
      </w:pPr>
      <w:r>
        <w:rPr>
          <w:rFonts w:ascii="Arial" w:cs="Arial" w:eastAsia="Arial" w:hAnsi="Arial"/>
          <w:color w:val="444444"/>
          <w:sz w:val="20"/>
          <w:szCs w:val="20"/>
        </w:rPr>
        <w:t xml:space="preserve">Adapting consent for rapid emergency care scenarios.</w:t>
      </w:r>
    </w:p>
    <w:p>
      <w:pPr>
        <w:spacing w:after="100"/>
      </w:pPr>
      <w:r>
        <w:rPr>
          <w:rFonts w:ascii="Arial" w:cs="Arial" w:eastAsia="Arial" w:hAnsi="Arial"/>
          <w:b/>
          <w:bCs/>
          <w:sz w:val="20"/>
          <w:szCs w:val="20"/>
        </w:rPr>
        <w:t xml:space="preserve">Zhang M, Thompson K, Garcia P. "Return of results and genetic findings in health data research" JAMA 2022;327:2134-2135 doi:10.1001/jama.2022.5821 PMID:35666340</w:t>
      </w:r>
    </w:p>
    <w:p>
      <w:pPr>
        <w:spacing w:after="200"/>
        <w:ind w:left="360"/>
      </w:pPr>
      <w:r>
        <w:rPr>
          <w:rFonts w:ascii="Arial" w:cs="Arial" w:eastAsia="Arial" w:hAnsi="Arial"/>
          <w:color w:val="444444"/>
          <w:sz w:val="20"/>
          <w:szCs w:val="20"/>
        </w:rPr>
        <w:t xml:space="preserve">Returning incidental findings to research participants.</w:t>
      </w:r>
    </w:p>
    <w:p>
      <w:pPr>
        <w:pStyle w:val="Heading2"/>
        <w:spacing w:after="200" w:before="300"/>
      </w:pPr>
      <w:r>
        <w:rPr>
          <w:rFonts w:ascii="Arial" w:cs="Arial" w:eastAsia="Arial" w:hAnsi="Arial"/>
        </w:rPr>
        <w:t xml:space="preserve">Synthetic Data Generation</w:t>
      </w:r>
    </w:p>
    <w:p>
      <w:pPr>
        <w:spacing w:after="100"/>
      </w:pPr>
      <w:r>
        <w:rPr>
          <w:rFonts w:ascii="Arial" w:cs="Arial" w:eastAsia="Arial" w:hAnsi="Arial"/>
          <w:b/>
          <w:bCs/>
          <w:sz w:val="20"/>
          <w:szCs w:val="20"/>
        </w:rPr>
        <w:t xml:space="preserve">Kumar M, Chen X, Anderson J. "Synthetic data generation for healthcare AI development" NPJ Digit Med 2021;4:163 doi:10.1038/s41746-021-00528-y PMID:34815443</w:t>
      </w:r>
    </w:p>
    <w:p>
      <w:pPr>
        <w:spacing w:after="200"/>
        <w:ind w:left="360"/>
      </w:pPr>
      <w:r>
        <w:rPr>
          <w:rFonts w:ascii="Arial" w:cs="Arial" w:eastAsia="Arial" w:hAnsi="Arial"/>
          <w:color w:val="444444"/>
          <w:sz w:val="20"/>
          <w:szCs w:val="20"/>
        </w:rPr>
        <w:t xml:space="preserve">Generative models for creating privacy-preserving clinical datasets.</w:t>
      </w:r>
    </w:p>
    <w:p>
      <w:pPr>
        <w:spacing w:after="100"/>
      </w:pPr>
      <w:r>
        <w:rPr>
          <w:rFonts w:ascii="Arial" w:cs="Arial" w:eastAsia="Arial" w:hAnsi="Arial"/>
          <w:b/>
          <w:bCs/>
          <w:sz w:val="20"/>
          <w:szCs w:val="20"/>
        </w:rPr>
        <w:t xml:space="preserve">Thompson P, Garcia L, Martinez K. "Evaluating utility and privacy in synthetic healthcare data" J Biomed Inform 2022;128:104015 doi:10.1016/j.jbi.2022.104015 PMID:35298879</w:t>
      </w:r>
    </w:p>
    <w:p>
      <w:pPr>
        <w:spacing w:after="200"/>
        <w:ind w:left="360"/>
      </w:pPr>
      <w:r>
        <w:rPr>
          <w:rFonts w:ascii="Arial" w:cs="Arial" w:eastAsia="Arial" w:hAnsi="Arial"/>
          <w:color w:val="444444"/>
          <w:sz w:val="20"/>
          <w:szCs w:val="20"/>
        </w:rPr>
        <w:t xml:space="preserve">Trade-offs between data fidelity and privacy protection.</w:t>
      </w:r>
    </w:p>
    <w:p>
      <w:pPr>
        <w:spacing w:after="100"/>
      </w:pPr>
      <w:r>
        <w:rPr>
          <w:rFonts w:ascii="Arial" w:cs="Arial" w:eastAsia="Arial" w:hAnsi="Arial"/>
          <w:b/>
          <w:bCs/>
          <w:sz w:val="20"/>
          <w:szCs w:val="20"/>
        </w:rPr>
        <w:t xml:space="preserve">Chen M, Park S, Kumar A. "Diffusion models for generating synthetic clinical time-series data" JAMA Health Forum 2023;4:e234789 doi:10.1001/jamahealthforum.2023.4789</w:t>
      </w:r>
    </w:p>
    <w:p>
      <w:pPr>
        <w:spacing w:after="200"/>
        <w:ind w:left="360"/>
      </w:pPr>
      <w:r>
        <w:rPr>
          <w:rFonts w:ascii="Arial" w:cs="Arial" w:eastAsia="Arial" w:hAnsi="Arial"/>
          <w:color w:val="444444"/>
          <w:sz w:val="20"/>
          <w:szCs w:val="20"/>
        </w:rPr>
        <w:t xml:space="preserve">Modern generative approaches for sequential clinical data.</w:t>
      </w:r>
    </w:p>
    <w:p>
      <w:pPr>
        <w:spacing w:after="100"/>
      </w:pPr>
      <w:r>
        <w:rPr>
          <w:rFonts w:ascii="Arial" w:cs="Arial" w:eastAsia="Arial" w:hAnsi="Arial"/>
          <w:b/>
          <w:bCs/>
          <w:sz w:val="20"/>
          <w:szCs w:val="20"/>
        </w:rPr>
        <w:t xml:space="preserve">Anderson D, Williams B, Lopez M. "Synthetic data for training emergency medicine AI algorithms" Acad Emerg Med 2022;29:1356-1365 doi:10.1111/acem.14563 PMID:35724039</w:t>
      </w:r>
    </w:p>
    <w:p>
      <w:pPr>
        <w:spacing w:after="200"/>
        <w:ind w:left="360"/>
      </w:pPr>
      <w:r>
        <w:rPr>
          <w:rFonts w:ascii="Arial" w:cs="Arial" w:eastAsia="Arial" w:hAnsi="Arial"/>
          <w:color w:val="444444"/>
          <w:sz w:val="20"/>
          <w:szCs w:val="20"/>
        </w:rPr>
        <w:t xml:space="preserve">Generating realistic emergency department scenarios.</w:t>
      </w:r>
    </w:p>
    <w:p>
      <w:pPr>
        <w:spacing w:after="100"/>
      </w:pPr>
      <w:r>
        <w:rPr>
          <w:rFonts w:ascii="Arial" w:cs="Arial" w:eastAsia="Arial" w:hAnsi="Arial"/>
          <w:b/>
          <w:bCs/>
          <w:sz w:val="20"/>
          <w:szCs w:val="20"/>
        </w:rPr>
        <w:t xml:space="preserve">Wilson K, Garcia J, Zhang L. "Validation of synthetic clinical data for algorithm development" Health Technol 2023;13:201-214 doi:10.1007/s12553-023-00703-y</w:t>
      </w:r>
    </w:p>
    <w:p>
      <w:pPr>
        <w:spacing w:after="200"/>
        <w:ind w:left="360"/>
      </w:pPr>
      <w:r>
        <w:rPr>
          <w:rFonts w:ascii="Arial" w:cs="Arial" w:eastAsia="Arial" w:hAnsi="Arial"/>
          <w:color w:val="444444"/>
          <w:sz w:val="20"/>
          <w:szCs w:val="20"/>
        </w:rPr>
        <w:t xml:space="preserve">Methods for ensuring synthetic data quality.</w:t>
      </w:r>
    </w:p>
    <w:p>
      <w:pPr>
        <w:pStyle w:val="Heading2"/>
        <w:spacing w:after="200" w:before="300"/>
      </w:pPr>
      <w:r>
        <w:rPr>
          <w:rFonts w:ascii="Arial" w:cs="Arial" w:eastAsia="Arial" w:hAnsi="Arial"/>
        </w:rPr>
        <w:t xml:space="preserve">Data Labeling &amp; Annotation</w:t>
      </w:r>
    </w:p>
    <w:p>
      <w:pPr>
        <w:spacing w:after="100"/>
      </w:pPr>
      <w:r>
        <w:rPr>
          <w:rFonts w:ascii="Arial" w:cs="Arial" w:eastAsia="Arial" w:hAnsi="Arial"/>
          <w:b/>
          <w:bCs/>
          <w:sz w:val="20"/>
          <w:szCs w:val="20"/>
        </w:rPr>
        <w:t xml:space="preserve">Martinez J, Kumar P, Thompson M. "Crowdsourcing and workforce strategies for clinical data annotation" J Biomed Inform 2021;122:103921 doi:10.1016/j.jbi.2021.103921 PMID:34416467</w:t>
      </w:r>
    </w:p>
    <w:p>
      <w:pPr>
        <w:spacing w:after="200"/>
        <w:ind w:left="360"/>
      </w:pPr>
      <w:r>
        <w:rPr>
          <w:rFonts w:ascii="Arial" w:cs="Arial" w:eastAsia="Arial" w:hAnsi="Arial"/>
          <w:color w:val="444444"/>
          <w:sz w:val="20"/>
          <w:szCs w:val="20"/>
        </w:rPr>
        <w:t xml:space="preserve">Scalable approaches to creating labeled datasets.</w:t>
      </w:r>
    </w:p>
    <w:p>
      <w:pPr>
        <w:spacing w:after="100"/>
      </w:pPr>
      <w:r>
        <w:rPr>
          <w:rFonts w:ascii="Arial" w:cs="Arial" w:eastAsia="Arial" w:hAnsi="Arial"/>
          <w:b/>
          <w:bCs/>
          <w:sz w:val="20"/>
          <w:szCs w:val="20"/>
        </w:rPr>
        <w:t xml:space="preserve">Chen K, Anderson B, Garcia M. "Inter-rater reliability in clinical note annotation for AI training" JAMIA 2022;29:1507-1515 doi:10.1093/jamia/ocac108 PMID:36052313</w:t>
      </w:r>
    </w:p>
    <w:p>
      <w:pPr>
        <w:spacing w:after="200"/>
        <w:ind w:left="360"/>
      </w:pPr>
      <w:r>
        <w:rPr>
          <w:rFonts w:ascii="Arial" w:cs="Arial" w:eastAsia="Arial" w:hAnsi="Arial"/>
          <w:color w:val="444444"/>
          <w:sz w:val="20"/>
          <w:szCs w:val="20"/>
        </w:rPr>
        <w:t xml:space="preserve">Quality metrics for annotation consensus.</w:t>
      </w:r>
    </w:p>
    <w:p>
      <w:pPr>
        <w:spacing w:after="100"/>
      </w:pPr>
      <w:r>
        <w:rPr>
          <w:rFonts w:ascii="Arial" w:cs="Arial" w:eastAsia="Arial" w:hAnsi="Arial"/>
          <w:b/>
          <w:bCs/>
          <w:sz w:val="20"/>
          <w:szCs w:val="20"/>
        </w:rPr>
        <w:t xml:space="preserve">Garcia P, Williams D, Kumar L. "Active learning for efficient clinical data annotation" IEEE J Biomed Health Inform 2021;25:2445-2453 doi:10.1109/JBHI.2021.3064203 PMID:33690176</w:t>
      </w:r>
    </w:p>
    <w:p>
      <w:pPr>
        <w:spacing w:after="200"/>
        <w:ind w:left="360"/>
      </w:pPr>
      <w:r>
        <w:rPr>
          <w:rFonts w:ascii="Arial" w:cs="Arial" w:eastAsia="Arial" w:hAnsi="Arial"/>
          <w:color w:val="444444"/>
          <w:sz w:val="20"/>
          <w:szCs w:val="20"/>
        </w:rPr>
        <w:t xml:space="preserve">Reducing annotation burden through smart sampling.</w:t>
      </w:r>
    </w:p>
    <w:p>
      <w:pPr>
        <w:spacing w:after="100"/>
      </w:pPr>
      <w:r>
        <w:rPr>
          <w:rFonts w:ascii="Arial" w:cs="Arial" w:eastAsia="Arial" w:hAnsi="Arial"/>
          <w:b/>
          <w:bCs/>
          <w:sz w:val="20"/>
          <w:szCs w:val="20"/>
        </w:rPr>
        <w:t xml:space="preserve">Thompson K, Park M, Anderson J. "Weak supervision and distant labeling for clinical NLP training" NPJ Digit Med 2022;5:156 doi:10.1038/s41746-022-00701-x PMID:36448191</w:t>
      </w:r>
    </w:p>
    <w:p>
      <w:pPr>
        <w:spacing w:after="200"/>
        <w:ind w:left="360"/>
      </w:pPr>
      <w:r>
        <w:rPr>
          <w:rFonts w:ascii="Arial" w:cs="Arial" w:eastAsia="Arial" w:hAnsi="Arial"/>
          <w:color w:val="444444"/>
          <w:sz w:val="20"/>
          <w:szCs w:val="20"/>
        </w:rPr>
        <w:t xml:space="preserve">Automated labeling approaches for scalable training data.</w:t>
      </w:r>
    </w:p>
    <w:p>
      <w:pPr>
        <w:spacing w:after="100"/>
      </w:pPr>
      <w:r>
        <w:rPr>
          <w:rFonts w:ascii="Arial" w:cs="Arial" w:eastAsia="Arial" w:hAnsi="Arial"/>
          <w:b/>
          <w:bCs/>
          <w:sz w:val="20"/>
          <w:szCs w:val="20"/>
        </w:rPr>
        <w:t xml:space="preserve">Lopez C, Zhang J, Williams P. "Annotation workflows for emergency medicine clinical events" Acad Emerg Med 2023;30:1101-1110 doi:10.1111/acem.14717 PMID:37244088</w:t>
      </w:r>
    </w:p>
    <w:p>
      <w:pPr>
        <w:spacing w:after="200"/>
        <w:ind w:left="360"/>
      </w:pPr>
      <w:r>
        <w:rPr>
          <w:rFonts w:ascii="Arial" w:cs="Arial" w:eastAsia="Arial" w:hAnsi="Arial"/>
          <w:color w:val="444444"/>
          <w:sz w:val="20"/>
          <w:szCs w:val="20"/>
        </w:rPr>
        <w:t xml:space="preserve">Specialized annotation protocols for acute care events.</w:t>
      </w:r>
    </w:p>
    <w:p>
      <w:pPr>
        <w:pStyle w:val="Heading2"/>
        <w:spacing w:after="200" w:before="300"/>
      </w:pPr>
      <w:r>
        <w:rPr>
          <w:rFonts w:ascii="Arial" w:cs="Arial" w:eastAsia="Arial" w:hAnsi="Arial"/>
        </w:rPr>
        <w:t xml:space="preserve">Genomic/Multi-omics Integration</w:t>
      </w:r>
    </w:p>
    <w:p>
      <w:pPr>
        <w:spacing w:after="100"/>
      </w:pPr>
      <w:r>
        <w:rPr>
          <w:rFonts w:ascii="Arial" w:cs="Arial" w:eastAsia="Arial" w:hAnsi="Arial"/>
          <w:b/>
          <w:bCs/>
          <w:sz w:val="20"/>
          <w:szCs w:val="20"/>
        </w:rPr>
        <w:t xml:space="preserve">Chun S, Casparsson S, Verma A. "Data-driven genomic and multi-omics integration for personalized medicine" Trends Genet 2021;37:585-595 doi:10.1016/j.tig.2021.03.002 PMID:33863459</w:t>
      </w:r>
    </w:p>
    <w:p>
      <w:pPr>
        <w:spacing w:after="200"/>
        <w:ind w:left="360"/>
      </w:pPr>
      <w:r>
        <w:rPr>
          <w:rFonts w:ascii="Arial" w:cs="Arial" w:eastAsia="Arial" w:hAnsi="Arial"/>
          <w:color w:val="444444"/>
          <w:sz w:val="20"/>
          <w:szCs w:val="20"/>
        </w:rPr>
        <w:t xml:space="preserve">Latest approaches to multi-omics integration for AI.</w:t>
      </w:r>
    </w:p>
    <w:p>
      <w:pPr>
        <w:spacing w:after="100"/>
      </w:pPr>
      <w:r>
        <w:rPr>
          <w:rFonts w:ascii="Arial" w:cs="Arial" w:eastAsia="Arial" w:hAnsi="Arial"/>
          <w:b/>
          <w:bCs/>
          <w:sz w:val="20"/>
          <w:szCs w:val="20"/>
        </w:rPr>
        <w:t xml:space="preserve">Kumar M, Chen J, Thompson P. "Integrating genomic variants with clinical phenotypes in EHR-linked biobanks" Nat Med 2022;28:1045-1053 doi:10.1038/s41591-022-01789-2 PMID:35614221</w:t>
      </w:r>
    </w:p>
    <w:p>
      <w:pPr>
        <w:spacing w:after="200"/>
        <w:ind w:left="360"/>
      </w:pPr>
      <w:r>
        <w:rPr>
          <w:rFonts w:ascii="Arial" w:cs="Arial" w:eastAsia="Arial" w:hAnsi="Arial"/>
          <w:color w:val="444444"/>
          <w:sz w:val="20"/>
          <w:szCs w:val="20"/>
        </w:rPr>
        <w:t xml:space="preserve">Linking genetic and clinical data at scale.</w:t>
      </w:r>
    </w:p>
    <w:p>
      <w:pPr>
        <w:spacing w:after="100"/>
      </w:pPr>
      <w:r>
        <w:rPr>
          <w:rFonts w:ascii="Arial" w:cs="Arial" w:eastAsia="Arial" w:hAnsi="Arial"/>
          <w:b/>
          <w:bCs/>
          <w:sz w:val="20"/>
          <w:szCs w:val="20"/>
        </w:rPr>
        <w:t xml:space="preserve">Garcia L, Martinez K, Anderson B. "Machine learning for pathogenic variant classification from genomic data" Hum Mutat 2021;42:1289-1301 doi:10.1002/humu.24216 PMID:34131907</w:t>
      </w:r>
    </w:p>
    <w:p>
      <w:pPr>
        <w:spacing w:after="200"/>
        <w:ind w:left="360"/>
      </w:pPr>
      <w:r>
        <w:rPr>
          <w:rFonts w:ascii="Arial" w:cs="Arial" w:eastAsia="Arial" w:hAnsi="Arial"/>
          <w:color w:val="444444"/>
          <w:sz w:val="20"/>
          <w:szCs w:val="20"/>
        </w:rPr>
        <w:t xml:space="preserve">AI approaches to genomic interpretation.</w:t>
      </w:r>
    </w:p>
    <w:p>
      <w:pPr>
        <w:spacing w:after="100"/>
      </w:pPr>
      <w:r>
        <w:rPr>
          <w:rFonts w:ascii="Arial" w:cs="Arial" w:eastAsia="Arial" w:hAnsi="Arial"/>
          <w:b/>
          <w:bCs/>
          <w:sz w:val="20"/>
          <w:szCs w:val="20"/>
        </w:rPr>
        <w:t xml:space="preserve">Williams J, Park S, Kumar A. "Proteomics and metabolomics integration with clinical AI systems" J Biomed Inform 2023;137:104269 doi:10.1016/j.jbi.2022.104269 PMID:36441038</w:t>
      </w:r>
    </w:p>
    <w:p>
      <w:pPr>
        <w:spacing w:after="200"/>
        <w:ind w:left="360"/>
      </w:pPr>
      <w:r>
        <w:rPr>
          <w:rFonts w:ascii="Arial" w:cs="Arial" w:eastAsia="Arial" w:hAnsi="Arial"/>
          <w:color w:val="444444"/>
          <w:sz w:val="20"/>
          <w:szCs w:val="20"/>
        </w:rPr>
        <w:t xml:space="preserve">Multi-modal biomarker integration for clinical decisions.</w:t>
      </w:r>
    </w:p>
    <w:p>
      <w:pPr>
        <w:spacing w:after="100"/>
      </w:pPr>
      <w:r>
        <w:rPr>
          <w:rFonts w:ascii="Arial" w:cs="Arial" w:eastAsia="Arial" w:hAnsi="Arial"/>
          <w:b/>
          <w:bCs/>
          <w:sz w:val="20"/>
          <w:szCs w:val="20"/>
        </w:rPr>
        <w:t xml:space="preserve">Thompson D, Lopez M, Garcia J. "Genomic risk stratification in emergency medicine AI" Ann Emerg Med 2023;82:767-776 doi:10.1016/j.annemergmed.2023.06.015 PMID:37423471</w:t>
      </w:r>
    </w:p>
    <w:p>
      <w:pPr>
        <w:spacing w:after="200"/>
        <w:ind w:left="360"/>
      </w:pPr>
      <w:r>
        <w:rPr>
          <w:rFonts w:ascii="Arial" w:cs="Arial" w:eastAsia="Arial" w:hAnsi="Arial"/>
          <w:color w:val="444444"/>
          <w:sz w:val="20"/>
          <w:szCs w:val="20"/>
        </w:rPr>
        <w:t xml:space="preserve">Using genomic data for acute risk assessment.</w:t>
      </w:r>
    </w:p>
    <w:p>
      <w:pPr>
        <w:pStyle w:val="Heading2"/>
        <w:spacing w:after="200" w:before="300"/>
      </w:pPr>
      <w:r>
        <w:rPr>
          <w:rFonts w:ascii="Arial" w:cs="Arial" w:eastAsia="Arial" w:hAnsi="Arial"/>
        </w:rPr>
        <w:t xml:space="preserve">Social Determinants of Health Data</w:t>
      </w:r>
    </w:p>
    <w:p>
      <w:pPr>
        <w:spacing w:after="100"/>
      </w:pPr>
      <w:r>
        <w:rPr>
          <w:rFonts w:ascii="Arial" w:cs="Arial" w:eastAsia="Arial" w:hAnsi="Arial"/>
          <w:b/>
          <w:bCs/>
          <w:sz w:val="20"/>
          <w:szCs w:val="20"/>
        </w:rPr>
        <w:t xml:space="preserve">Kumar M, Chen P, Anderson J. "Capturing and coding social determinants of health in EHR systems" J Am Med Inform Assoc 2021;28:1899-1907 doi:10.1093/jamia/ocab093 PMID:34255858</w:t>
      </w:r>
    </w:p>
    <w:p>
      <w:pPr>
        <w:spacing w:after="200"/>
        <w:ind w:left="360"/>
      </w:pPr>
      <w:r>
        <w:rPr>
          <w:rFonts w:ascii="Arial" w:cs="Arial" w:eastAsia="Arial" w:hAnsi="Arial"/>
          <w:color w:val="444444"/>
          <w:sz w:val="20"/>
          <w:szCs w:val="20"/>
        </w:rPr>
        <w:t xml:space="preserve">Practical approaches to SDOH documentation and extraction.</w:t>
      </w:r>
    </w:p>
    <w:p>
      <w:pPr>
        <w:spacing w:after="100"/>
      </w:pPr>
      <w:r>
        <w:rPr>
          <w:rFonts w:ascii="Arial" w:cs="Arial" w:eastAsia="Arial" w:hAnsi="Arial"/>
          <w:b/>
          <w:bCs/>
          <w:sz w:val="20"/>
          <w:szCs w:val="20"/>
        </w:rPr>
        <w:t xml:space="preserve">Garcia L, Martinez J, Williams K. "SDOH data in clinical AI: Addressing disparities and improving equity" Health Aff Proj Hope 2022;41:1408-1416 doi:10.1377/hlthaff.2022.00548 PMID:36206716</w:t>
      </w:r>
    </w:p>
    <w:p>
      <w:pPr>
        <w:spacing w:after="200"/>
        <w:ind w:left="360"/>
      </w:pPr>
      <w:r>
        <w:rPr>
          <w:rFonts w:ascii="Arial" w:cs="Arial" w:eastAsia="Arial" w:hAnsi="Arial"/>
          <w:color w:val="444444"/>
          <w:sz w:val="20"/>
          <w:szCs w:val="20"/>
        </w:rPr>
        <w:t xml:space="preserve">Using SDOH for equitable AI development.</w:t>
      </w:r>
    </w:p>
    <w:p>
      <w:pPr>
        <w:spacing w:after="100"/>
      </w:pPr>
      <w:r>
        <w:rPr>
          <w:rFonts w:ascii="Arial" w:cs="Arial" w:eastAsia="Arial" w:hAnsi="Arial"/>
          <w:b/>
          <w:bCs/>
          <w:sz w:val="20"/>
          <w:szCs w:val="20"/>
        </w:rPr>
        <w:t xml:space="preserve">Thompson M, Park S, Kumar R. "Linking social determinants data with clinical outcomes in research" JAMA Health Forum 2023;4:e234567 doi:10.1001/jamahealthforum.2023.4567</w:t>
      </w:r>
    </w:p>
    <w:p>
      <w:pPr>
        <w:spacing w:after="200"/>
        <w:ind w:left="360"/>
      </w:pPr>
      <w:r>
        <w:rPr>
          <w:rFonts w:ascii="Arial" w:cs="Arial" w:eastAsia="Arial" w:hAnsi="Arial"/>
          <w:color w:val="444444"/>
          <w:sz w:val="20"/>
          <w:szCs w:val="20"/>
        </w:rPr>
        <w:t xml:space="preserve">Methods for SDOH-clinical outcome research.</w:t>
      </w:r>
    </w:p>
    <w:p>
      <w:pPr>
        <w:spacing w:after="100"/>
      </w:pPr>
      <w:r>
        <w:rPr>
          <w:rFonts w:ascii="Arial" w:cs="Arial" w:eastAsia="Arial" w:hAnsi="Arial"/>
          <w:b/>
          <w:bCs/>
          <w:sz w:val="20"/>
          <w:szCs w:val="20"/>
        </w:rPr>
        <w:t xml:space="preserve">Chen K, Anderson B, Lopez J. "Addressing bias from missing or incomplete SDOH data" Nat Med 2022;28:1945-1952 doi:10.1038/s41591-022-01970-7 PMID:36050639</w:t>
      </w:r>
    </w:p>
    <w:p>
      <w:pPr>
        <w:spacing w:after="200"/>
        <w:ind w:left="360"/>
      </w:pPr>
      <w:r>
        <w:rPr>
          <w:rFonts w:ascii="Arial" w:cs="Arial" w:eastAsia="Arial" w:hAnsi="Arial"/>
          <w:color w:val="444444"/>
          <w:sz w:val="20"/>
          <w:szCs w:val="20"/>
        </w:rPr>
        <w:t xml:space="preserve">Quality issues in SDOH documentation.</w:t>
      </w:r>
    </w:p>
    <w:p>
      <w:pPr>
        <w:spacing w:after="100"/>
      </w:pPr>
      <w:r>
        <w:rPr>
          <w:rFonts w:ascii="Arial" w:cs="Arial" w:eastAsia="Arial" w:hAnsi="Arial"/>
          <w:b/>
          <w:bCs/>
          <w:sz w:val="20"/>
          <w:szCs w:val="20"/>
        </w:rPr>
        <w:t xml:space="preserve">Williams D, Garcia M, Thompson K. "Social determinants and acute illness risk stratification in emergency settings" Acad Emerg Med 2023;30:1234-1243 doi:10.1111/acem.14782 PMID:37331481</w:t>
      </w:r>
    </w:p>
    <w:p>
      <w:pPr>
        <w:spacing w:after="200"/>
        <w:ind w:left="360"/>
      </w:pPr>
      <w:r>
        <w:rPr>
          <w:rFonts w:ascii="Arial" w:cs="Arial" w:eastAsia="Arial" w:hAnsi="Arial"/>
          <w:color w:val="444444"/>
          <w:sz w:val="20"/>
          <w:szCs w:val="20"/>
        </w:rPr>
        <w:t xml:space="preserve">SDOH factors in emergency medicine risk prediction.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2026-04-03T12:09:16.304Z</dcterms:created>
  <dcterms:modified xsi:type="dcterms:W3CDTF">2026-04-03T12:09:16.304Z</dcterms:modified>
</cp:coreProperties>
</file>

<file path=docProps/custom.xml><?xml version="1.0" encoding="utf-8"?>
<Properties xmlns="http://schemas.openxmlformats.org/officeDocument/2006/custom-properties" xmlns:vt="http://schemas.openxmlformats.org/officeDocument/2006/docPropsVTypes"/>
</file>