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reporte-diario-de-actividades"/>
    <w:p>
      <w:pPr>
        <w:pStyle w:val="Heading1"/>
      </w:pPr>
      <w:r>
        <w:t xml:space="preserve">REPORTE DIARIO DE ACTIVIDADES</w:t>
      </w:r>
    </w:p>
    <w:bookmarkStart w:id="9" w:name="prácticas-preprofesionales"/>
    <w:p>
      <w:pPr>
        <w:pStyle w:val="Heading2"/>
      </w:pPr>
      <w:r>
        <w:t xml:space="preserve">Prácticas Preprofesionales</w:t>
      </w:r>
    </w:p>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Institución</w:t>
            </w:r>
          </w:p>
        </w:tc>
        <w:tc>
          <w:tcPr/>
          <w:p>
            <w:pPr>
              <w:pStyle w:val="Compact"/>
            </w:pPr>
            <w:r>
              <w:t xml:space="preserve">Universidad Nacional del Altiplano Puno</w:t>
            </w:r>
          </w:p>
        </w:tc>
      </w:tr>
      <w:tr>
        <w:tc>
          <w:tcPr/>
          <w:p>
            <w:pPr>
              <w:pStyle w:val="Compact"/>
            </w:pPr>
            <w:r>
              <w:rPr>
                <w:b/>
                <w:bCs/>
              </w:rPr>
              <w:t xml:space="preserve">Unidad académica</w:t>
            </w:r>
          </w:p>
        </w:tc>
        <w:tc>
          <w:tcPr/>
          <w:p>
            <w:pPr>
              <w:pStyle w:val="Compact"/>
            </w:pPr>
            <w:r>
              <w:t xml:space="preserve">E.P. Ingeniería de Sistemas — FIMEES</w:t>
            </w:r>
          </w:p>
        </w:tc>
      </w:tr>
      <w:tr>
        <w:tc>
          <w:tcPr/>
          <w:p>
            <w:pPr>
              <w:pStyle w:val="Compact"/>
            </w:pPr>
            <w:r>
              <w:rPr>
                <w:b/>
                <w:bCs/>
              </w:rPr>
              <w:t xml:space="preserve">Proyecto</w:t>
            </w:r>
          </w:p>
        </w:tc>
        <w:tc>
          <w:tcPr/>
          <w:p>
            <w:pPr>
              <w:pStyle w:val="Compact"/>
            </w:pPr>
            <w:r>
              <w:t xml:space="preserve">Sistema Web de Seguimiento e Inserción Laboral del Egresado</w:t>
            </w:r>
          </w:p>
        </w:tc>
      </w:tr>
      <w:tr>
        <w:tc>
          <w:tcPr/>
          <w:p>
            <w:pPr>
              <w:pStyle w:val="Compact"/>
            </w:pPr>
            <w:r>
              <w:rPr>
                <w:b/>
                <w:bCs/>
              </w:rPr>
              <w:t xml:space="preserve">Practicante</w:t>
            </w:r>
          </w:p>
        </w:tc>
        <w:tc>
          <w:tcPr/>
          <w:p>
            <w:pPr>
              <w:pStyle w:val="Compact"/>
            </w:pPr>
            <w:r>
              <w:t xml:space="preserve">Robert Charlie Cuyo Zamata</w:t>
            </w:r>
          </w:p>
        </w:tc>
      </w:tr>
      <w:tr>
        <w:tc>
          <w:tcPr/>
          <w:p>
            <w:pPr>
              <w:pStyle w:val="Compact"/>
            </w:pPr>
            <w:r>
              <w:rPr>
                <w:b/>
                <w:bCs/>
              </w:rPr>
              <w:t xml:space="preserve">Supervisora</w:t>
            </w:r>
          </w:p>
        </w:tc>
        <w:tc>
          <w:tcPr/>
          <w:p>
            <w:pPr>
              <w:pStyle w:val="Compact"/>
            </w:pPr>
            <w:r>
              <w:t xml:space="preserve">Guina Guadalupe Sotomayor Alzamora</w:t>
            </w:r>
          </w:p>
        </w:tc>
      </w:tr>
      <w:tr>
        <w:tc>
          <w:tcPr/>
          <w:p>
            <w:pPr>
              <w:pStyle w:val="Compact"/>
            </w:pPr>
            <w:r>
              <w:rPr>
                <w:b/>
                <w:bCs/>
              </w:rPr>
              <w:t xml:space="preserve">Fecha</w:t>
            </w:r>
          </w:p>
        </w:tc>
        <w:tc>
          <w:tcPr/>
          <w:p>
            <w:pPr>
              <w:pStyle w:val="Compact"/>
            </w:pPr>
            <w:r>
              <w:t xml:space="preserve">1 de julio de 2026</w:t>
            </w:r>
          </w:p>
        </w:tc>
      </w:tr>
    </w:tbl>
    <w:p>
      <w:r>
        <w:pict>
          <v:rect style="width:0;height:1.5pt" o:hralign="center" o:hrstd="t" o:hr="t"/>
        </w:pict>
      </w:r>
    </w:p>
    <w:bookmarkEnd w:id="9"/>
    <w:bookmarkStart w:id="10" w:name="objetivo"/>
    <w:p>
      <w:pPr>
        <w:pStyle w:val="Heading2"/>
      </w:pPr>
      <w:r>
        <w:t xml:space="preserve">1. Objetivo</w:t>
      </w:r>
    </w:p>
    <w:p>
      <w:pPr>
        <w:pStyle w:val="FirstParagraph"/>
      </w:pPr>
      <w:r>
        <w:t xml:space="preserve">Finalizar la actualización del Plan de Desarrollo del Software a la versión 1.1, generar los archivos de distribución en formato</w:t>
      </w:r>
      <w:r>
        <w:t xml:space="preserve"> </w:t>
      </w:r>
      <w:r>
        <w:rPr>
          <w:rStyle w:val="VerbatimChar"/>
        </w:rPr>
        <w:t xml:space="preserve">.docx</w:t>
      </w:r>
      <w:r>
        <w:t xml:space="preserve"> </w:t>
      </w:r>
      <w:r>
        <w:t xml:space="preserve">para todos los documentos técnicos actualizados o creados durante el ciclo, y realizar una auditoría de consistencia entre la documentación oficial del proyecto y el código fuente actual del sistema.</w:t>
      </w:r>
    </w:p>
    <w:p>
      <w:r>
        <w:pict>
          <v:rect style="width:0;height:1.5pt" o:hralign="center" o:hrstd="t" o:hr="t"/>
        </w:pict>
      </w:r>
    </w:p>
    <w:bookmarkEnd w:id="10"/>
    <w:bookmarkStart w:id="11" w:name="actividades-desarrolladas"/>
    <w:p>
      <w:pPr>
        <w:pStyle w:val="Heading2"/>
      </w:pPr>
      <w:r>
        <w:t xml:space="preserve">2. Actividades Desarrolladas</w:t>
      </w:r>
    </w:p>
    <w:p>
      <w:pPr>
        <w:numPr>
          <w:ilvl w:val="0"/>
          <w:numId w:val="1001"/>
        </w:numPr>
      </w:pPr>
      <w:r>
        <w:rPr>
          <w:b/>
          <w:bCs/>
        </w:rPr>
        <w:t xml:space="preserve">Actualización de secciones pendientes del Plan de Desarrollo v1.1.</w:t>
      </w:r>
      <w:r>
        <w:t xml:space="preserve"> </w:t>
      </w:r>
      <w:r>
        <w:t xml:space="preserve">Se revisaron y corrigieron las secciones 12.2 (estadísticas del proyecto), 12.3 (documentación técnica producida) y 13 (conclusiones), actualizando las métricas de 47 a 61 requerimientos funcionales, de 23 a 27 endpoints, de 13 a 16 módulos implementados, de 7 a 8 servicios de backend y de 7 a 10 documentos generados. Se actualizaron también las referencias bibliográficas finales (SRS v3.2 y DA v1.3).</w:t>
      </w:r>
    </w:p>
    <w:p>
      <w:pPr>
        <w:numPr>
          <w:ilvl w:val="0"/>
          <w:numId w:val="1001"/>
        </w:numPr>
      </w:pPr>
      <w:r>
        <w:rPr>
          <w:b/>
          <w:bCs/>
        </w:rPr>
        <w:t xml:space="preserve">Generación de archivos</w:t>
      </w:r>
      <w:r>
        <w:rPr>
          <w:b/>
          <w:bCs/>
        </w:rPr>
        <w:t xml:space="preserve"> </w:t>
      </w:r>
      <w:r>
        <w:rPr>
          <w:rStyle w:val="VerbatimChar"/>
          <w:b/>
          <w:bCs/>
        </w:rPr>
        <w:t xml:space="preserve">.docx</w:t>
      </w:r>
      <w:r>
        <w:rPr>
          <w:b/>
          <w:bCs/>
        </w:rPr>
        <w:t xml:space="preserve"> </w:t>
      </w:r>
      <w:r>
        <w:rPr>
          <w:b/>
          <w:bCs/>
        </w:rPr>
        <w:t xml:space="preserve">mediante pandoc.</w:t>
      </w:r>
      <w:r>
        <w:t xml:space="preserve"> </w:t>
      </w:r>
      <w:r>
        <w:t xml:space="preserve">Se convirtieron a formato de procesador de texto los seis documentos Markdown actualizados o creados durante el ciclo:</w:t>
      </w:r>
      <w:r>
        <w:t xml:space="preserve"> </w:t>
      </w:r>
      <w:r>
        <w:rPr>
          <w:rStyle w:val="VerbatimChar"/>
        </w:rPr>
        <w:t xml:space="preserve">SRS_v3.2.docx</w:t>
      </w:r>
      <w:r>
        <w:t xml:space="preserve"> </w:t>
      </w:r>
      <w:r>
        <w:t xml:space="preserve">(46 KB),</w:t>
      </w:r>
      <w:r>
        <w:t xml:space="preserve"> </w:t>
      </w:r>
      <w:r>
        <w:rPr>
          <w:rStyle w:val="VerbatimChar"/>
        </w:rPr>
        <w:t xml:space="preserve">DA_EPIS_UNAP_v1.3.docx</w:t>
      </w:r>
      <w:r>
        <w:t xml:space="preserve"> </w:t>
      </w:r>
      <w:r>
        <w:t xml:space="preserve">(45 KB),</w:t>
      </w:r>
      <w:r>
        <w:t xml:space="preserve"> </w:t>
      </w:r>
      <w:r>
        <w:rPr>
          <w:rStyle w:val="VerbatimChar"/>
        </w:rPr>
        <w:t xml:space="preserve">Plan_Desarrollo_Software_EPIS_UNAP_v1.1.docx</w:t>
      </w:r>
      <w:r>
        <w:t xml:space="preserve"> </w:t>
      </w:r>
      <w:r>
        <w:t xml:space="preserve">(44 KB),</w:t>
      </w:r>
      <w:r>
        <w:t xml:space="preserve"> </w:t>
      </w:r>
      <w:r>
        <w:rPr>
          <w:rStyle w:val="VerbatimChar"/>
        </w:rPr>
        <w:t xml:space="preserve">Manual_Usuario_v1.0.docx</w:t>
      </w:r>
      <w:r>
        <w:t xml:space="preserve"> </w:t>
      </w:r>
      <w:r>
        <w:t xml:space="preserve">(25 KB),</w:t>
      </w:r>
      <w:r>
        <w:t xml:space="preserve"> </w:t>
      </w:r>
      <w:r>
        <w:rPr>
          <w:rStyle w:val="VerbatimChar"/>
        </w:rPr>
        <w:t xml:space="preserve">Manual_Instalacion_v1.0.docx</w:t>
      </w:r>
      <w:r>
        <w:t xml:space="preserve"> </w:t>
      </w:r>
      <w:r>
        <w:t xml:space="preserve">(24 KB) y</w:t>
      </w:r>
      <w:r>
        <w:t xml:space="preserve"> </w:t>
      </w:r>
      <w:r>
        <w:rPr>
          <w:rStyle w:val="VerbatimChar"/>
        </w:rPr>
        <w:t xml:space="preserve">Manual_Administracion_v1.0.docx</w:t>
      </w:r>
      <w:r>
        <w:t xml:space="preserve"> </w:t>
      </w:r>
      <w:r>
        <w:t xml:space="preserve">(23 KB).</w:t>
      </w:r>
    </w:p>
    <w:p>
      <w:pPr>
        <w:numPr>
          <w:ilvl w:val="0"/>
          <w:numId w:val="1001"/>
        </w:numPr>
      </w:pPr>
      <w:r>
        <w:rPr>
          <w:b/>
          <w:bCs/>
        </w:rPr>
        <w:t xml:space="preserve">Diagnóstico de error de conexión a la base de datos.</w:t>
      </w:r>
      <w:r>
        <w:t xml:space="preserve"> </w:t>
      </w:r>
      <w:r>
        <w:t xml:space="preserve">Se identificó un error de tipo</w:t>
      </w:r>
      <w:r>
        <w:t xml:space="preserve"> </w:t>
      </w:r>
      <w:r>
        <w:rPr>
          <w:rStyle w:val="VerbatimChar"/>
        </w:rPr>
        <w:t xml:space="preserve">PrismaClientUnknownRequestError</w:t>
      </w:r>
      <w:r>
        <w:t xml:space="preserve"> </w:t>
      </w:r>
      <w:r>
        <w:t xml:space="preserve">con código</w:t>
      </w:r>
      <w:r>
        <w:t xml:space="preserve"> </w:t>
      </w:r>
      <w:r>
        <w:rPr>
          <w:rStyle w:val="VerbatimChar"/>
        </w:rPr>
        <w:t xml:space="preserve">ENOTFOUND</w:t>
      </w:r>
      <w:r>
        <w:t xml:space="preserve"> </w:t>
      </w:r>
      <w:r>
        <w:t xml:space="preserve">al acceder a la página principal del sistema en entorno de desarrollo. El análisis determinó que la causa era la pausa automática del proyecto en Supabase (plan gratuito) y no un error en el código fuente.</w:t>
      </w:r>
    </w:p>
    <w:p>
      <w:pPr>
        <w:numPr>
          <w:ilvl w:val="0"/>
          <w:numId w:val="1001"/>
        </w:numPr>
      </w:pPr>
      <w:r>
        <w:rPr>
          <w:b/>
          <w:bCs/>
        </w:rPr>
        <w:t xml:space="preserve">Auditoría completa de la documentación técnica frente al código fuente.</w:t>
      </w:r>
      <w:r>
        <w:t xml:space="preserve"> </w:t>
      </w:r>
      <w:r>
        <w:t xml:space="preserve">Se compararon los siete documentos oficiales del proyecto (SRS v3.2, DA v1.3, Plan v1.1, Manual de Usuario, Manual de Instalación, Manual de Administración y README) contra el esquema Prisma, los servicios de backend, los route handlers de la API REST, las páginas del dashboard y las validaciones Zod. La revisión abarcó roles, permisos, rutas, modelos de datos, funciones de servicio y flujos de usuario documentados.</w:t>
      </w:r>
    </w:p>
    <w:p>
      <w:pPr>
        <w:numPr>
          <w:ilvl w:val="0"/>
          <w:numId w:val="1001"/>
        </w:numPr>
      </w:pPr>
      <w:r>
        <w:rPr>
          <w:b/>
          <w:bCs/>
        </w:rPr>
        <w:t xml:space="preserve">Elaboración del informe de auditoría.</w:t>
      </w:r>
      <w:r>
        <w:t xml:space="preserve"> </w:t>
      </w:r>
      <w:r>
        <w:t xml:space="preserve">Se redactó un informe estructurado en seis secciones: inconsistencias encontradas, información que no coincide con el código, información obsoleta, errores de numeración, duplicaciones e información inventada. Se identificaron 13 observaciones, clasificadas por severidad, con recomendación de corrección puntual para cada una.</w:t>
      </w:r>
    </w:p>
    <w:p>
      <w:r>
        <w:pict>
          <v:rect style="width:0;height:1.5pt" o:hralign="center" o:hrstd="t" o:hr="t"/>
        </w:pict>
      </w:r>
    </w:p>
    <w:bookmarkEnd w:id="11"/>
    <w:bookmarkStart w:id="12" w:name="resultados-obtenidos"/>
    <w:p>
      <w:pPr>
        <w:pStyle w:val="Heading2"/>
      </w:pPr>
      <w:r>
        <w:t xml:space="preserve">3. Resultados Obtenidos</w:t>
      </w:r>
    </w:p>
    <w:p>
      <w:pPr>
        <w:pStyle w:val="FirstParagraph"/>
      </w:pPr>
      <w:r>
        <w:t xml:space="preserve">El Plan de Desarrollo del Software quedó cerrado en su versión 1.1 con todas las secciones actualizadas y consistentes entre sí. Se generaron los seis archivos</w:t>
      </w:r>
      <w:r>
        <w:t xml:space="preserve"> </w:t>
      </w:r>
      <w:r>
        <w:rPr>
          <w:rStyle w:val="VerbatimChar"/>
        </w:rPr>
        <w:t xml:space="preserve">.docx</w:t>
      </w:r>
      <w:r>
        <w:t xml:space="preserve"> </w:t>
      </w:r>
      <w:r>
        <w:t xml:space="preserve">que conforman el paquete de entrega de documentación técnica del proyecto. La auditoría identificó discrepancias concretas entre la documentación y el código, entre ellas: cuatro celdas incorrectas en la matriz de permisos del Documento de Arquitectura referentes al rol</w:t>
      </w:r>
      <w:r>
        <w:t xml:space="preserve"> </w:t>
      </w:r>
      <w:r>
        <w:rPr>
          <w:rStyle w:val="VerbatimChar"/>
        </w:rPr>
        <w:t xml:space="preserve">DIRECTOR</w:t>
      </w:r>
      <w:r>
        <w:t xml:space="preserve">, la descripción de funcionalidades del Coordinador de Prácticas en el Manual de Usuario que no corresponden a ninguna funcionalidad implementada en la interfaz, dos comportamientos documentados en el SRS (actualización automática de</w:t>
      </w:r>
      <w:r>
        <w:t xml:space="preserve"> </w:t>
      </w:r>
      <w:r>
        <w:rPr>
          <w:rStyle w:val="VerbatimChar"/>
        </w:rPr>
        <w:t xml:space="preserve">isCurrent</w:t>
      </w:r>
      <w:r>
        <w:t xml:space="preserve"> </w:t>
      </w:r>
      <w:r>
        <w:t xml:space="preserve">y campo</w:t>
      </w:r>
      <w:r>
        <w:t xml:space="preserve"> </w:t>
      </w:r>
      <w:r>
        <w:rPr>
          <w:rStyle w:val="VerbatimChar"/>
        </w:rPr>
        <w:t xml:space="preserve">description</w:t>
      </w:r>
      <w:r>
        <w:t xml:space="preserve"> </w:t>
      </w:r>
      <w:r>
        <w:t xml:space="preserve">en historial laboral) que no están implementados en el servicio backend, y una contradicción en la versión de Node.js entre el archivo</w:t>
      </w:r>
      <w:r>
        <w:t xml:space="preserve"> </w:t>
      </w:r>
      <w:r>
        <w:rPr>
          <w:rStyle w:val="VerbatimChar"/>
        </w:rPr>
        <w:t xml:space="preserve">.nvmrc</w:t>
      </w:r>
      <w:r>
        <w:t xml:space="preserve"> </w:t>
      </w:r>
      <w:r>
        <w:t xml:space="preserve">(v20) y el README (v22). El informe queda disponible para orientar una corrección selectiva de los documentos afectados.</w:t>
      </w:r>
    </w:p>
    <w:p>
      <w:r>
        <w:pict>
          <v:rect style="width:0;height:1.5pt" o:hralign="center" o:hrstd="t" o:hr="t"/>
        </w:pict>
      </w:r>
    </w:p>
    <w:bookmarkEnd w:id="12"/>
    <w:bookmarkStart w:id="13" w:name="observaciones"/>
    <w:p>
      <w:pPr>
        <w:pStyle w:val="Heading2"/>
      </w:pPr>
      <w:r>
        <w:t xml:space="preserve">4. Observaciones</w:t>
      </w:r>
    </w:p>
    <w:p>
      <w:pPr>
        <w:pStyle w:val="Compact"/>
        <w:numPr>
          <w:ilvl w:val="0"/>
          <w:numId w:val="1002"/>
        </w:numPr>
      </w:pPr>
      <w:r>
        <w:t xml:space="preserve">La auditoría reveló que varias secciones del Manual de Usuario para el rol Coordinador de Prácticas describen flujos de interfaz (crear encuestas, activar/desactivar ofertas, navegar al detalle de una oferta) que existen a nivel de API pero no cuentan con UI implementada. Esto sugiere que dichas secciones fueron redactadas anticipando una interfaz que aún no fue desarrollada, lo que representa la inconsistencia de mayor impacto práctico detectada en la sesión.</w:t>
      </w:r>
    </w:p>
    <w:p>
      <w:pPr>
        <w:pStyle w:val="Compact"/>
        <w:numPr>
          <w:ilvl w:val="0"/>
          <w:numId w:val="1002"/>
        </w:numPr>
      </w:pPr>
      <w:r>
        <w:t xml:space="preserve">La corrección de los documentos afectados queda pendiente de confirmación por parte de la supervisora antes de proceder a las modificaciones.</w:t>
      </w:r>
    </w:p>
    <w:p>
      <w:r>
        <w:pict>
          <v:rect style="width:0;height:1.5pt" o:hralign="center" o:hrstd="t" o:hr="t"/>
        </w:pict>
      </w:r>
    </w:p>
    <w:bookmarkEnd w:id="13"/>
    <w:bookmarkStart w:id="14" w:name="validación"/>
    <w:p>
      <w:pPr>
        <w:pStyle w:val="Heading2"/>
      </w:pPr>
      <w:r>
        <w:t xml:space="preserve">5. Validación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Nombre</w:t>
            </w:r>
          </w:p>
        </w:tc>
        <w:tc>
          <w:tcPr/>
          <w:p>
            <w:pPr>
              <w:pStyle w:val="Compact"/>
            </w:pPr>
            <w:r>
              <w:t xml:space="preserve">Fecha</w:t>
            </w:r>
          </w:p>
        </w:tc>
      </w:tr>
      <w:tr>
        <w:tc>
          <w:tcPr/>
          <w:p>
            <w:pPr>
              <w:pStyle w:val="Compact"/>
            </w:pPr>
            <w:r>
              <w:t xml:space="preserve">Practicante</w:t>
            </w:r>
          </w:p>
        </w:tc>
        <w:tc>
          <w:tcPr/>
          <w:p>
            <w:pPr>
              <w:pStyle w:val="Compact"/>
            </w:pPr>
            <w:r>
              <w:t xml:space="preserve">Robert Charlie Cuyo Zamata</w:t>
            </w:r>
          </w:p>
        </w:tc>
        <w:tc>
          <w:tcPr/>
          <w:p>
            <w:pPr>
              <w:pStyle w:val="Compact"/>
            </w:pPr>
            <w:r>
              <w:t xml:space="preserve">1 de julio de 2026</w:t>
            </w:r>
          </w:p>
        </w:tc>
      </w:tr>
      <w:tr>
        <w:tc>
          <w:tcPr/>
          <w:p>
            <w:pPr>
              <w:pStyle w:val="Compact"/>
            </w:pPr>
            <w:r>
              <w:t xml:space="preserve">Supervisora</w:t>
            </w:r>
          </w:p>
        </w:tc>
        <w:tc>
          <w:tcPr/>
          <w:p>
            <w:pPr>
              <w:pStyle w:val="Compact"/>
            </w:pPr>
            <w:r>
              <w:t xml:space="preserve">Guina Guadalupe Sotomayor Alzamora</w:t>
            </w:r>
          </w:p>
        </w:tc>
        <w:tc>
          <w:tcPr/>
          <w:p>
            <w:pPr>
              <w:pStyle w:val="Compact"/>
            </w:pPr>
          </w:p>
        </w:tc>
      </w:tr>
    </w:tbl>
    <w:p>
      <w:r>
        <w:pict>
          <v:rect style="width:0;height:1.5pt" o:hralign="center" o:hrstd="t" o:hr="t"/>
        </w:pict>
      </w:r>
    </w:p>
    <w:p>
      <w:pPr>
        <w:pStyle w:val="FirstParagraph"/>
      </w:pPr>
      <w:r>
        <w:rPr>
          <w:i/>
          <w:iCs/>
        </w:rPr>
        <w:t xml:space="preserve">Reporte generado en el marco de las prácticas preprofesionales — E.P. Ingeniería de Sistemas, UNA Puno.</w:t>
      </w:r>
      <w:r>
        <w:t xml:space="preserve"> </w:t>
      </w:r>
      <w:r>
        <w:rPr>
          <w:i/>
          <w:iCs/>
        </w:rPr>
        <w:t xml:space="preserve">Archivo:</w:t>
      </w:r>
      <w:r>
        <w:rPr>
          <w:i/>
          <w:iCs/>
        </w:rPr>
        <w:t xml:space="preserve"> </w:t>
      </w:r>
      <w:r>
        <w:rPr>
          <w:rStyle w:val="VerbatimChar"/>
          <w:i/>
          <w:iCs/>
        </w:rPr>
        <w:t xml:space="preserve">2026-07-01.md</w:t>
      </w:r>
      <w:r>
        <w:rPr>
          <w:i/>
          <w:iCs/>
        </w:rPr>
        <w:t xml:space="preserve"> </w:t>
      </w:r>
      <w:r>
        <w:rPr>
          <w:i/>
          <w:iCs/>
        </w:rPr>
        <w:t xml:space="preserve">| Carpeta:</w:t>
      </w:r>
      <w:r>
        <w:rPr>
          <w:i/>
          <w:iCs/>
        </w:rPr>
        <w:t xml:space="preserve"> </w:t>
      </w:r>
      <w:r>
        <w:rPr>
          <w:rStyle w:val="VerbatimChar"/>
          <w:i/>
          <w:iCs/>
        </w:rPr>
        <w:t xml:space="preserve">documentacion/reportes_diarios/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2026-07-01T23:10:27Z</dcterms:created>
  <dcterms:modified xsi:type="dcterms:W3CDTF">2026-07-01T23:10:27Z</dcterms:modified>
</cp:coreProperties>
</file>

<file path=docProps/custom.xml><?xml version="1.0" encoding="utf-8"?>
<Properties xmlns="http://schemas.openxmlformats.org/officeDocument/2006/custom-properties" xmlns:vt="http://schemas.openxmlformats.org/officeDocument/2006/docPropsVTypes"/>
</file>