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O Impacto da Inteligência Artificial Generativa na Engenharia de Software: Produtividade, Desafios e Transformação Digital</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1. Introdução</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ind w:firstLine="720"/>
        <w:jc w:val="both"/>
        <w:rPr>
          <w:sz w:val="24"/>
          <w:szCs w:val="24"/>
        </w:rPr>
      </w:pPr>
      <w:r w:rsidDel="00000000" w:rsidR="00000000" w:rsidRPr="00000000">
        <w:rPr>
          <w:sz w:val="24"/>
          <w:szCs w:val="24"/>
          <w:rtl w:val="0"/>
        </w:rPr>
        <w:t xml:space="preserve">A Inteligência Artificial Generativa (IAG) consolidou-se como uma força disruptiva sem precedentes no campo da engenharia de software, operando uma mudança de paradigma nas práticas convencionais de programação. No atual cenário de transformação digital, compreender essa transição tecnológica é imperativo para a manutenção da competitividade organizacional, exigindo uma visão sistêmica que vá além da simples adoção de ferramentas. A IAG atua como um catalisador que desloca o eixo do desenvolvimento manual para um modelo assistido, exigindo que líderes de tecnologia reavaliem seus fluxos de trabalho e estratégias de entrega.</w:t>
      </w:r>
    </w:p>
    <w:p w:rsidR="00000000" w:rsidDel="00000000" w:rsidP="00000000" w:rsidRDefault="00000000" w:rsidRPr="00000000" w14:paraId="00000006">
      <w:pPr>
        <w:spacing w:line="360" w:lineRule="auto"/>
        <w:jc w:val="both"/>
        <w:rPr>
          <w:sz w:val="24"/>
          <w:szCs w:val="24"/>
        </w:rPr>
      </w:pPr>
      <w:r w:rsidDel="00000000" w:rsidR="00000000" w:rsidRPr="00000000">
        <w:rPr>
          <w:rtl w:val="0"/>
        </w:rPr>
      </w:r>
    </w:p>
    <w:p w:rsidR="00000000" w:rsidDel="00000000" w:rsidP="00000000" w:rsidRDefault="00000000" w:rsidRPr="00000000" w14:paraId="00000007">
      <w:pPr>
        <w:spacing w:line="360" w:lineRule="auto"/>
        <w:ind w:firstLine="720"/>
        <w:jc w:val="both"/>
        <w:rPr>
          <w:sz w:val="24"/>
          <w:szCs w:val="24"/>
        </w:rPr>
      </w:pPr>
      <w:r w:rsidDel="00000000" w:rsidR="00000000" w:rsidRPr="00000000">
        <w:rPr>
          <w:sz w:val="24"/>
          <w:szCs w:val="24"/>
          <w:rtl w:val="0"/>
        </w:rPr>
        <w:t xml:space="preserve">O escopo deste relatório abrange a análise de como a IAG está redefinindo a produtividade e o papel do desenvolvedor. O objetivo central é examinar ferramentas como GitHub Copilot e ChatGPT, avaliando o potencial de otimização do ciclo de vida de desenvolvimento, sem negligenciar os riscos críticos de segurança, integridade técnica e conformidade legal. Para fundamentar esta análise, iniciaremos explorando o ecossistema tecnológico e as arquiteturas que sustentam essa revolução.</w:t>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2. O Ecossistema Tecnológico da IAG no Desenvolvimento</w:t>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ind w:firstLine="720"/>
        <w:jc w:val="both"/>
        <w:rPr>
          <w:sz w:val="24"/>
          <w:szCs w:val="24"/>
        </w:rPr>
      </w:pPr>
      <w:r w:rsidDel="00000000" w:rsidR="00000000" w:rsidRPr="00000000">
        <w:rPr>
          <w:sz w:val="24"/>
          <w:szCs w:val="24"/>
          <w:rtl w:val="0"/>
        </w:rPr>
        <w:t xml:space="preserve">A diversidade de Large Language Models (LLMs) especializados representa um salto qualitativo na interação homem-máquina. A evolução de modelos generalistas para arquiteturas especificamente otimizadas para código, como o GPT-4 e o CodeT5, permite que a tecnologia compreenda não apenas a sintaxe, mas a semântica profunda e a intenção funcional dos algoritmos, transformando a linguagem natural em um motor de execução lógica.</w:t>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2.1 Principais Ferramentas e Modelos</w:t>
      </w:r>
    </w:p>
    <w:p w:rsidR="00000000" w:rsidDel="00000000" w:rsidP="00000000" w:rsidRDefault="00000000" w:rsidRPr="00000000" w14:paraId="0000000E">
      <w:pPr>
        <w:spacing w:line="360" w:lineRule="auto"/>
        <w:jc w:val="both"/>
        <w:rPr>
          <w:sz w:val="24"/>
          <w:szCs w:val="24"/>
        </w:rPr>
      </w:pPr>
      <w:r w:rsidDel="00000000" w:rsidR="00000000" w:rsidRPr="00000000">
        <w:rPr>
          <w:rtl w:val="0"/>
        </w:rPr>
      </w:r>
    </w:p>
    <w:p w:rsidR="00000000" w:rsidDel="00000000" w:rsidP="00000000" w:rsidRDefault="00000000" w:rsidRPr="00000000" w14:paraId="0000000F">
      <w:pPr>
        <w:spacing w:line="360" w:lineRule="auto"/>
        <w:ind w:firstLine="720"/>
        <w:jc w:val="both"/>
        <w:rPr>
          <w:sz w:val="24"/>
          <w:szCs w:val="24"/>
        </w:rPr>
      </w:pPr>
      <w:r w:rsidDel="00000000" w:rsidR="00000000" w:rsidRPr="00000000">
        <w:rPr>
          <w:sz w:val="24"/>
          <w:szCs w:val="24"/>
          <w:rtl w:val="0"/>
        </w:rPr>
        <w:t xml:space="preserve">O ecossistema atual é composto por uma gama de soluções com especializações técnicas distintas:</w:t>
      </w:r>
    </w:p>
    <w:p w:rsidR="00000000" w:rsidDel="00000000" w:rsidP="00000000" w:rsidRDefault="00000000" w:rsidRPr="00000000" w14:paraId="00000010">
      <w:pPr>
        <w:spacing w:line="360" w:lineRule="auto"/>
        <w:jc w:val="both"/>
        <w:rPr>
          <w:sz w:val="24"/>
          <w:szCs w:val="24"/>
        </w:rPr>
      </w:pP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 GitHub Copilot: Um assistente de codificação em tempo real que utiliza o modelo Codex para sugerir implementações contextuais dentro da IDE.</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 ChatGPT (OpenAI): Utilizado para refatoração complexa, explicação de lógica legada e geração de algoritmos via interface conversacional.</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 CodeT5 (Wang et al., 2021): Destaca-se por ser um modelo "identifier-aware", o que lhe confere uma capacidade superior de compreender e manipular nomes de variáveis e funções de forma semanticamente coerente.</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 AlphaCode (Li et al., 2022): Diferencia-se por atingir desempenho de nível competitivo em maratonas de programação, demonstrando capacidade de resolver problemas inéditos e complexos, indo além do simples reconhecimento de padrões.</w:t>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 CodeBERT e GraphCodeBERT (Guo et al., 2021): Modelos fundamentais para a representação de código que incorporam o fluxo de dados, essenciais para tarefas de busca e análise semântica profunda.</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 Amazon CodeWhisperer: Focado em otimização para infraestruturas de nuvem, integrando segurança e conformidade ao fluxo de desenvolvimento em AWS.</w:t>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2.2 Arquitetura e Funcionamento</w:t>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ind w:firstLine="720"/>
        <w:jc w:val="both"/>
        <w:rPr>
          <w:sz w:val="24"/>
          <w:szCs w:val="24"/>
        </w:rPr>
      </w:pPr>
      <w:r w:rsidDel="00000000" w:rsidR="00000000" w:rsidRPr="00000000">
        <w:rPr>
          <w:sz w:val="24"/>
          <w:szCs w:val="24"/>
          <w:rtl w:val="0"/>
        </w:rPr>
        <w:t xml:space="preserve">A eficácia dessas ferramentas reside na arquitetura Transformer (Vaswani et al., 2017), que permite o processamento de longas sequências de código e o entendimento de contextos globais. O pré-treinamento em larga escala é sustentado por datasets massivos como o "The Stack" (Kocetkov et al., 2022), que abrange aproximadamente 3 TB de código-fonte sob licenciamento permissivo. Esse treinamento permite que a IA decodifique múltiplos paradigmas e linguagens, estabelecendo uma ponte robusta entre a abstração da linguagem natural e a precisão da lógica computacional. Esta base técnica é o que viabiliza os saltos de eficiência observados na rotina das equipes de desenvolvimento.</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xml:space="preserve">3. Impactos na Produtividade e Otimização de Processos</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ind w:firstLine="720"/>
        <w:jc w:val="both"/>
        <w:rPr>
          <w:sz w:val="24"/>
          <w:szCs w:val="24"/>
        </w:rPr>
      </w:pPr>
      <w:r w:rsidDel="00000000" w:rsidR="00000000" w:rsidRPr="00000000">
        <w:rPr>
          <w:sz w:val="24"/>
          <w:szCs w:val="24"/>
          <w:rtl w:val="0"/>
        </w:rPr>
        <w:t xml:space="preserve">Na visão de consultoria estratégica, a produtividade não deve ser medida estritamente pelo volume de linhas de código (LOC), mas sim pela otimização do Ciclo de Vida de Desenvolvimento de Software (SDLC). A IAG permite uma redução drástica do esforço cognitivo em tarefas de baixo valor agregado, possibilitando que o desenvolvedor atue mais como um arquiteto e revisor do que como um digitador de sintaxe.</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3.1 Automação do Ciclo de Desenvolvimento</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A IAG impacta três pilares críticos da engenharia moderna:</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1. Redução de Boilerplate: Automação de padrões repetitivos e códigos de infraestrutura, eliminando o trabalho braçal e acelerando o setup de novas funcionalidades.</w:t>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2. Documentação Dinâmica: Geração automatizada de documentação técnica e comentários de código, mitigando um dos maiores gargalos de manutenção em sistemas legados.</w:t>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3. Qualidade e Testes: Criação automatizada de casos de teste unitários e de integração, elevando a cobertura de testes e permitindo a detecção precoce de anomalias.</w:t>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3.2 Métricas de Eficiência e Developer Experience (DevEx)</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ind w:firstLine="720"/>
        <w:jc w:val="both"/>
        <w:rPr>
          <w:sz w:val="24"/>
          <w:szCs w:val="24"/>
        </w:rPr>
      </w:pPr>
      <w:r w:rsidDel="00000000" w:rsidR="00000000" w:rsidRPr="00000000">
        <w:rPr>
          <w:sz w:val="24"/>
          <w:szCs w:val="24"/>
          <w:rtl w:val="0"/>
        </w:rPr>
        <w:t xml:space="preserve">Estudos de mercado e evidências da indústria (Dohmke, 2023) apontam que o uso de assistentes de IAG pode reduzir em até 55% o tempo de conclusão de tarefas específicas. Este ganho de velocidade melhora significativamente a Developer Experience (DevEx), pois remove fricções procedimentais e permite foco em decisões arquiteturais de alto nível. No entanto, essa aceleração do time-to-market exige uma camada adicional de governança para gerenciar as complexidades que emergem desse fluxo acelerado.</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4. Desafios Estruturais, Éticos e de Segurança</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both"/>
        <w:rPr>
          <w:sz w:val="24"/>
          <w:szCs w:val="24"/>
        </w:rPr>
      </w:pPr>
      <w:r w:rsidDel="00000000" w:rsidR="00000000" w:rsidRPr="00000000">
        <w:rPr>
          <w:sz w:val="24"/>
          <w:szCs w:val="24"/>
          <w:rtl w:val="0"/>
        </w:rPr>
        <w:t xml:space="preserve">Como consultor de transformação digital, ressalto que a adoção de IAG sem uma estratégia de mitigação de riscos pode gerar dívidas técnicas impagáveis e vulnerabilidades críticas. A automação deve ser acompanhada de uma vigilância rigorosa sobre a integridade do artefato final.</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sz w:val="24"/>
          <w:szCs w:val="24"/>
          <w:rtl w:val="0"/>
        </w:rPr>
        <w:t xml:space="preserve">4.1 Riscos de Segurança e Qualidade</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ind w:firstLine="720"/>
        <w:jc w:val="both"/>
        <w:rPr>
          <w:sz w:val="24"/>
          <w:szCs w:val="24"/>
        </w:rPr>
      </w:pPr>
      <w:r w:rsidDel="00000000" w:rsidR="00000000" w:rsidRPr="00000000">
        <w:rPr>
          <w:sz w:val="24"/>
          <w:szCs w:val="24"/>
          <w:rtl w:val="0"/>
        </w:rPr>
        <w:t xml:space="preserve">A IA pode gerar códigos que, embora funcionais, contêm vulnerabilidades de segurança ou clones de códigos com falhas conhecidas (Pearce et al., 2022).</w:t>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 Recomendação Estratégica: Implementar protocolos de Policy-as-Code e revisões automatizadas de segurança (SAST/DAST) integradas ao pipeline de CI/CD para validar toda sugestão gerada por IA.</w:t>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4.2 Propriedade Intelectual e Aspectos Legais</w:t>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both"/>
        <w:rPr>
          <w:sz w:val="24"/>
          <w:szCs w:val="24"/>
        </w:rPr>
      </w:pPr>
      <w:r w:rsidDel="00000000" w:rsidR="00000000" w:rsidRPr="00000000">
        <w:rPr>
          <w:sz w:val="24"/>
          <w:szCs w:val="24"/>
          <w:rtl w:val="0"/>
        </w:rPr>
        <w:t xml:space="preserve">O treinamento de modelos em repositórios públicos levanta questões severas de direitos autorais, exemplificadas pelo caso GitHub Copilot litigation (Butterick, 2022). O risco de "vazamento" de licenças copyleft em ambientes corporativos é real.</w:t>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 Recomendação Estratégica: Estabelecer frameworks de governança que incluam auditorias de licenciamento e o uso de ferramentas que garantam a filtragem de sugestões que correspondam a códigos sob licenças restritivas.</w:t>
      </w:r>
    </w:p>
    <w:p w:rsidR="00000000" w:rsidDel="00000000" w:rsidP="00000000" w:rsidRDefault="00000000" w:rsidRPr="00000000" w14:paraId="0000003B">
      <w:pPr>
        <w:spacing w:line="360" w:lineRule="auto"/>
        <w:jc w:val="both"/>
        <w:rPr>
          <w:sz w:val="24"/>
          <w:szCs w:val="24"/>
        </w:rPr>
      </w:pPr>
      <w:r w:rsidDel="00000000" w:rsidR="00000000" w:rsidRPr="00000000">
        <w:rPr>
          <w:rtl w:val="0"/>
        </w:rPr>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4.3 Atrofia de Habilidades e Dependência</w:t>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firstLine="720"/>
        <w:jc w:val="both"/>
        <w:rPr>
          <w:sz w:val="24"/>
          <w:szCs w:val="24"/>
        </w:rPr>
      </w:pPr>
      <w:r w:rsidDel="00000000" w:rsidR="00000000" w:rsidRPr="00000000">
        <w:rPr>
          <w:sz w:val="24"/>
          <w:szCs w:val="24"/>
          <w:rtl w:val="0"/>
        </w:rPr>
        <w:t xml:space="preserve">A dependência excessiva de ferramentas gerativas pode levar à atrofia de competências fundamentais, prejudicando a capacidade de resolução de problemas complexos de baixo nível, especialmente em profissionais em início de carreira.</w:t>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p>
    <w:p w:rsidR="00000000" w:rsidDel="00000000" w:rsidP="00000000" w:rsidRDefault="00000000" w:rsidRPr="00000000" w14:paraId="00000040">
      <w:pPr>
        <w:spacing w:line="360" w:lineRule="auto"/>
        <w:jc w:val="both"/>
        <w:rPr>
          <w:sz w:val="24"/>
          <w:szCs w:val="24"/>
        </w:rPr>
      </w:pPr>
      <w:r w:rsidDel="00000000" w:rsidR="00000000" w:rsidRPr="00000000">
        <w:rPr>
          <w:sz w:val="24"/>
          <w:szCs w:val="24"/>
          <w:rtl w:val="0"/>
        </w:rPr>
        <w:t xml:space="preserve">* Recomendação Estratégica: Institucionalizar sessões de Pair Programming e revisões de código manuais focadas no ensino da lógica subjacente, garantindo que o conhecimento técnico permaneça como um ativo humano da organização.</w:t>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 xml:space="preserve">5. Conclusão e Perspectivas Futuras</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ind w:firstLine="720"/>
        <w:jc w:val="both"/>
        <w:rPr>
          <w:sz w:val="24"/>
          <w:szCs w:val="24"/>
        </w:rPr>
      </w:pPr>
      <w:r w:rsidDel="00000000" w:rsidR="00000000" w:rsidRPr="00000000">
        <w:rPr>
          <w:sz w:val="24"/>
          <w:szCs w:val="24"/>
          <w:rtl w:val="0"/>
        </w:rPr>
        <w:t xml:space="preserve">A Inteligência Artificial Generativa não substitui o engenheiro de software; ela o redefine. A abordagem "human-in-the-loop" é o único caminho viável para uma transformação digital sustentável, onde a máquina atua como copiloto e o humano detém o discernimento ético, arquitetural e técnico final.</w:t>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ind w:firstLine="720"/>
        <w:jc w:val="both"/>
        <w:rPr>
          <w:sz w:val="24"/>
          <w:szCs w:val="24"/>
        </w:rPr>
      </w:pPr>
      <w:r w:rsidDel="00000000" w:rsidR="00000000" w:rsidRPr="00000000">
        <w:rPr>
          <w:sz w:val="24"/>
          <w:szCs w:val="24"/>
          <w:rtl w:val="0"/>
        </w:rPr>
        <w:t xml:space="preserve">Em síntese, os ganhos de produtividade de até 55% no tempo de execução de tarefas demonstram um potencial disruptivo inegável. Contudo, o sucesso dessa integração depende do equilíbrio entre a potência da automação e o rigor da supervisão. As organizações que prosperarão serão aquelas que utilizarem a IAG para reduzir a carga cognitiva de seus talentos, enquanto fortalecem a segurança do código e preservam o capital intelectual humano como seu pilar central.</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 xml:space="preserve">6. Referências</w:t>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sz w:val="24"/>
          <w:szCs w:val="24"/>
          <w:rtl w:val="0"/>
        </w:rPr>
        <w:t xml:space="preserve">* Ahmad, W., Tushar, M. G., Chakraborty, S., &amp; Fahid, K. M. (2023). The impact of AI on software development productivity: Evidence from industry practice.</w:t>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 Butterick, M. (2022). GitHub Copilot litigation. Class action lawsuit documentation.</w:t>
      </w:r>
    </w:p>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 Chen, Y., &amp; Zhang, L. (2023). Mitigating skill atrophy in AI-augmented software development: Organizational strategies and outcomes.</w:t>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 Dohmke, T. (2023). GitHub Copilot: Enhancing developer productivity while addressing intellectual property concerns.</w:t>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 Guo, D., Ren, S., Lu, S., Feng, Z., Tang, D., Liu, S., ... &amp; Zhou, M. (2021). GraphCodeBERT: Pre-training code representations with data flow.</w:t>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 Kocetkov, D., Li, R., Allal, L. B., Li, J., Mou, C., Muennighoff, N., ... &amp; von Werra, L. (2022). The stack: 3 TB of permissively licensed source code.</w:t>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 Li, Y., Choi, D., Chung, J., Kushman, N., Schrittwieser, J., Leblond, R., ... &amp; Chen, D. (2022). Competition-level code generation with AlphaCode.</w:t>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 OpenAI. (2023). GPT-4 technical report.</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 Pearce, H., Ahmad, B., Tan, B., Dolan-Gavitt, B., &amp; Karri, R. (2022). Asleep at the keyboard? Assessing the security of GitHub Copilot's code contributions.</w:t>
      </w:r>
    </w:p>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 Pinheiro, J. H. S. (2025). Inteligência Artificial Generativa na Transformação dos Processos de Desenvolvimento de Software: Oportunidades, Desafios e Impactos na Produtividade. Aurum Revista Multidisciplinar.</w:t>
      </w:r>
    </w:p>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 Vaswani, A., Shazeer, N., Parmar, N., Uszkoreit, J., Jones, L., Gomez, A. N.,... &amp; Polosukhin, I. (2017). Attention is all you need.</w:t>
      </w:r>
    </w:p>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 Wang, Y., Wang, W., Joty, S., &amp; Hoi, S. C. (2021). CodeT5: Identifier-aware unified pre-trained encoder-decoder models for code understanding and generation.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