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Author"/>
      </w:pPr>
      <w:r>
        <w:t xml:space="preserve">John L. Schnase</w:t>
      </w:r>
    </w:p>
    <w:p>
      <w:pPr>
        <w:pStyle w:val="Date"/>
      </w:pPr>
      <w:r>
        <w:t xml:space="preserve">2026-04-26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6"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w:t>
      </w:r>
      <w:r>
        <w:t xml:space="preserve"> </w:t>
      </w:r>
      <w:r>
        <w:t xml:space="preserve">(rENMs). Retrospective ecological niche modeling integrates historical species occurrence records with time-matched environmental data to reconstruct the spatio-temporal dynamics of species’ responses to changing environmental conditions. By revealing these long-term patterns, rENMs provide a powerful observational lens for addressing biological questions and assessing both the current and future conservation status of species.</w:t>
      </w:r>
    </w:p>
    <w:p>
      <w:pPr>
        <w:pStyle w:val="BodyText"/>
      </w:pPr>
      <w:r>
        <w:t xml:space="preserve">Although this analytical approach is broadly applicable across taxa, the current implementation of the rENM framework is designed to investigate climate-driven dynamics in North American bird species. The framework spans approximately 45 years (1980–2020), leveraging citizen science observations from the Cornell Lab of Ornithology’s eBird database alongside environmental data derived from NASA Earth system models.</w:t>
      </w:r>
    </w:p>
    <w:p>
      <w:pPr>
        <w:pStyle w:val="BodyText"/>
      </w:pPr>
      <w:r>
        <w:t xml:space="preserve">Additional information can be found in the following publications and the project’s GitHub repository at:</w:t>
      </w:r>
      <w:r>
        <w:t xml:space="preserve"> </w:t>
      </w:r>
      <w:hyperlink r:id="rId9">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0">
        <w:r>
          <w:rPr>
            <w:rStyle w:val="Hyperlink"/>
          </w:rPr>
          <w:t xml:space="preserve">doi:10.1371/journal.pone.0237208</w:t>
        </w:r>
      </w:hyperlink>
      <w:r>
        <w:t xml:space="preserve">. PMID: 33657125; PMCID: PMC7928495.</w:t>
      </w:r>
    </w:p>
    <w:p>
      <w:pPr>
        <w:pStyle w:val="BodyText"/>
      </w:pPr>
      <w:r>
        <w:t xml:space="preserve">Schnase, J.L. and Carroll, M.L. 2022. Automatic variable selection inf ecological niche modeling: a case study using Cassin’s Sparrow (</w:t>
      </w:r>
      <w:r>
        <w:rPr>
          <w:i/>
          <w:iCs/>
        </w:rPr>
        <w:t xml:space="preserve">Peucaea cassinii</w:t>
      </w:r>
      <w:r>
        <w:t xml:space="preserve">). PLoS One. 2022 Jan 21;17(1):e0257502.</w:t>
      </w:r>
      <w:r>
        <w:t xml:space="preserve"> </w:t>
      </w:r>
      <w:hyperlink r:id="rId11">
        <w:r>
          <w:rPr>
            <w:rStyle w:val="Hyperlink"/>
          </w:rPr>
          <w:t xml:space="preserve">doi: 10.1371/journal.pone.0257502</w:t>
        </w:r>
      </w:hyperlink>
      <w:r>
        <w:t xml:space="preserve">. PMID: 35061658; PMCID: PMC8782318.</w:t>
      </w:r>
    </w:p>
    <w:p>
      <w:pPr>
        <w:pStyle w:val="BodyText"/>
      </w:pPr>
      <w:r>
        <w:t xml:space="preserve">Schnase, J.L., and M.L. Carroll. 2023. “The MMX Toolkit: High-Performance, Reanalysis-Based Climatic Suitability Modeling to Advance Avian Conservation.” In Proceedings of the 2023 Conference on Big Data from Space (BiDS’23): 6-9 November 2023, edited by P. Soille, S. Lumnitz, and S. Albani, 299–303. Austrian Center, Vienna: Publications Office of the European.</w:t>
      </w:r>
      <w:r>
        <w:t xml:space="preserve"> </w:t>
      </w:r>
      <w:hyperlink r:id="rId12">
        <w:r>
          <w:rPr>
            <w:rStyle w:val="Hyperlink"/>
          </w:rPr>
          <w:t xml:space="preserve">https://doi.org/10.2760/46796.</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3">
        <w:r>
          <w:rPr>
            <w:rStyle w:val="Hyperlink"/>
          </w:rPr>
          <w:t xml:space="preserve">https://doi.org/10.5751/JFO-00432-950109</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4">
        <w:r>
          <w:rPr>
            <w:rStyle w:val="Hyperlink"/>
          </w:rPr>
          <w:t xml:space="preserve">https://doi.org/10.5751/JFO-00691-960303</w:t>
        </w:r>
      </w:hyperlink>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 </w:t>
      </w:r>
      <w:hyperlink r:id="rId15">
        <w:r>
          <w:rPr>
            <w:rStyle w:val="Hyperlink"/>
          </w:rPr>
          <w:t xml:space="preserve">https://doi.org/10.1894/0038-4909-70.1.7</w:t>
        </w:r>
      </w:hyperlink>
    </w:p>
    <w:p>
      <w:r>
        <w:pict>
          <v:rect style="width:0;height:1.5pt" o:hralign="center" o:hrstd="t" o:hr="t"/>
        </w:pict>
      </w:r>
    </w:p>
    <w:p>
      <w:pPr>
        <w:pStyle w:val="FirstParagraph"/>
      </w:pPr>
      <w:r>
        <w:t xml:space="preserve">This manual guides users through the rENM modeling and analysis workflow. Detailed documentation for individual functions is available within the respective package manuals.</w:t>
      </w:r>
    </w:p>
    <w:p>
      <w:pPr>
        <w:pStyle w:val="BodyText"/>
      </w:pPr>
      <w:r>
        <w:t xml:space="preserve">The rENM framework is an active research platform under ongoing development. It is provided for educational and research purposes only and is distributed without formal technical support.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6"/>
    <w:bookmarkStart w:id="17" w:name="the-renm-workflow"/>
    <w:p>
      <w:pPr>
        <w:pStyle w:val="Heading1"/>
      </w:pPr>
      <w:r>
        <w:t xml:space="preserve">2. The rENM Workflow</w:t>
      </w:r>
    </w:p>
    <w:p>
      <w:r>
        <w:br w:type="page"/>
      </w:r>
    </w:p>
    <w:bookmarkEnd w:id="17"/>
    <w:bookmarkStart w:id="21" w:name="configuring-the-host-environment"/>
    <w:p>
      <w:pPr>
        <w:pStyle w:val="Heading1"/>
      </w:pPr>
      <w:r>
        <w:t xml:space="preserve">3.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BodyText"/>
      </w:pPr>
      <w:r>
        <w:t xml:space="preserve">PROJECT_DIRECTORY/</w:t>
      </w:r>
      <w:r>
        <w:br/>
      </w:r>
      <w:r>
        <w:t xml:space="preserve">|___ data -&gt; (symbolic link to example_data)</w:t>
      </w:r>
      <w:r>
        <w:br/>
      </w:r>
      <w:r>
        <w:t xml:space="preserve">|___ example_data/…</w:t>
      </w:r>
      <w:r>
        <w:br/>
      </w:r>
      <w:r>
        <w:t xml:space="preserve">|___ runs/…</w:t>
      </w:r>
    </w:p>
    <w:p>
      <w:pPr>
        <w:pStyle w:val="BodyText"/>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18">
        <w:r>
          <w:rPr>
            <w:rStyle w:val="Hyperlink"/>
          </w:rPr>
          <w:t xml:space="preserve">https://github.com/rENM-Framework/rENM-scripts</w:t>
        </w:r>
      </w:hyperlink>
      <w:r>
        <w:t xml:space="preserve">.</w:t>
      </w:r>
    </w:p>
    <w:bookmarkStart w:id="19" w:name="creating-the-project-directory"/>
    <w:p>
      <w:pPr>
        <w:pStyle w:val="Heading2"/>
      </w:pPr>
      <w:r>
        <w:t xml:space="preserve">3.1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19"/>
    <w:bookmarkStart w:id="20" w:name="installing-the-example-data-set"/>
    <w:p>
      <w:pPr>
        <w:pStyle w:val="Heading2"/>
      </w:pPr>
      <w:r>
        <w:t xml:space="preserve">3.2 Installing the example data set</w:t>
      </w:r>
    </w:p>
    <w:p>
      <w:pPr>
        <w:pStyle w:val="FirstParagraph"/>
      </w:pPr>
      <w:r>
        <w:t xml:space="preserve">Next, you’ll want to install the example data set. Make sure your current working directory is the project base directory you just created, then run the following commands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0"/>
    <w:bookmarkEnd w:id="21"/>
    <w:bookmarkStart w:id="25" w:name="configuring-the-rstudio-environment"/>
    <w:p>
      <w:pPr>
        <w:pStyle w:val="Heading1"/>
      </w:pPr>
      <w:r>
        <w:t xml:space="preserve">4.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22" w:name="setting-the-project-directory-location"/>
    <w:p>
      <w:pPr>
        <w:pStyle w:val="Heading2"/>
      </w:pPr>
      <w:r>
        <w:t xml:space="preserve">4.1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s</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22"/>
    <w:bookmarkStart w:id="23" w:name="installing-the-framework-packages"/>
    <w:p>
      <w:pPr>
        <w:pStyle w:val="Heading2"/>
      </w:pPr>
      <w:r>
        <w:t xml:space="preserve">4.2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packates from the GitHub repository</w:t>
      </w:r>
      <w:r>
        <w:br/>
      </w:r>
      <w:r>
        <w:rPr>
          <w:rStyle w:val="CommentTok"/>
        </w:rPr>
        <w:t xml:space="preserve"># install.packages("devtools")</w:t>
      </w:r>
      <w:r>
        <w:br/>
      </w:r>
      <w:r>
        <w:rPr>
          <w:rStyle w:val="CommentTok"/>
        </w:rPr>
        <w:t xml:space="preserve"># devtools::install_github("rENM-Framework/rENM.core")</w:t>
      </w:r>
      <w:r>
        <w:br/>
      </w:r>
      <w:r>
        <w:rPr>
          <w:rStyle w:val="CommentTok"/>
        </w:rPr>
        <w:t xml:space="preserve"># devtools::install_github("rENM-Framework/rENM.data")</w:t>
      </w:r>
      <w:r>
        <w:br/>
      </w:r>
      <w:r>
        <w:rPr>
          <w:rStyle w:val="CommentTok"/>
        </w:rPr>
        <w:t xml:space="preserve"># devtools::install_github("rENM-Framework/rENM.model")</w:t>
      </w:r>
      <w:r>
        <w:br/>
      </w:r>
      <w:r>
        <w:rPr>
          <w:rStyle w:val="CommentTok"/>
        </w:rPr>
        <w:t xml:space="preserve"># devtools::install_github("rENM-Framework/rENM.analysis")</w:t>
      </w:r>
      <w:r>
        <w:br/>
      </w:r>
      <w:r>
        <w:rPr>
          <w:rStyle w:val="CommentTok"/>
        </w:rPr>
        <w:t xml:space="preserve"># devtools::install_github("rENM-Framework/rENM.reports")</w:t>
      </w:r>
      <w:r>
        <w:br/>
      </w:r>
      <w:r>
        <w:rPr>
          <w:rStyle w:val="CommentTok"/>
        </w:rPr>
        <w:t xml:space="preserve"># devtools::install_github("rENM-Framework/rENM.ai")</w:t>
      </w:r>
    </w:p>
    <w:bookmarkEnd w:id="23"/>
    <w:bookmarkStart w:id="24" w:name="loading-the-renm-framework-modules"/>
    <w:p>
      <w:pPr>
        <w:pStyle w:val="Heading2"/>
      </w:pPr>
      <w:r>
        <w:t xml:space="preserve">4.3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(rENM.ai)</w:t>
      </w:r>
      <w:r>
        <w:br/>
      </w:r>
      <w:r>
        <w:rPr>
          <w:rStyle w:val="FunctionTok"/>
        </w:rPr>
        <w:t xml:space="preserve">library</w:t>
      </w:r>
      <w:r>
        <w:rPr>
          <w:rStyle w:val="NormalTok"/>
        </w:rPr>
        <w:t xml:space="preserve">(rENM.reports)</w:t>
      </w:r>
    </w:p>
    <w:bookmarkEnd w:id="24"/>
    <w:bookmarkEnd w:id="25"/>
    <w:bookmarkStart w:id="28" w:name="performing-an-renm-analysis"/>
    <w:p>
      <w:pPr>
        <w:pStyle w:val="Heading1"/>
      </w:pPr>
      <w:r>
        <w:t xml:space="preserve">5. Performing an rENM Analysis</w:t>
      </w:r>
    </w:p>
    <w:p>
      <w:pPr>
        <w:pStyle w:val="FirstParagraph"/>
      </w:pPr>
      <w:r>
        <w:t xml:space="preserve">Species within the rENM framework are identified using a four-character banding code (alpha code). To demonstrate the framework’s capabilities, the example dataset includes three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w:t>
      </w:r>
    </w:p>
    <w:bookmarkStart w:id="26" w:name="viewing-installed-species-data"/>
    <w:p>
      <w:pPr>
        <w:pStyle w:val="Heading2"/>
      </w:pPr>
      <w:r>
        <w:t xml:space="preserve">5.1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26"/>
    <w:bookmarkStart w:id="27" w:name="setting-the-species-banding-code"/>
    <w:p>
      <w:pPr>
        <w:pStyle w:val="Heading2"/>
      </w:pPr>
      <w:r>
        <w:t xml:space="preserve">5.2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27"/>
    <w:bookmarkEnd w:id="28"/>
    <w:bookmarkStart w:id="38" w:name="data-assembly"/>
    <w:p>
      <w:pPr>
        <w:pStyle w:val="Heading1"/>
      </w:pPr>
      <w:r>
        <w:t xml:space="preserve">6. Data Assembly</w:t>
      </w:r>
    </w:p>
    <w:bookmarkStart w:id="34" w:name="occurrence-data"/>
    <w:p>
      <w:pPr>
        <w:pStyle w:val="Heading2"/>
      </w:pPr>
      <w:r>
        <w:t xml:space="preserve">6.1 Occurrence data</w:t>
      </w:r>
    </w:p>
    <w:bookmarkStart w:id="29"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29"/>
    <w:bookmarkStart w:id="30"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0"/>
    <w:bookmarkStart w:id="31"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1"/>
    <w:bookmarkStart w:id="32"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2"/>
    <w:bookmarkStart w:id="33"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finial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33"/>
    <w:bookmarkEnd w:id="34"/>
    <w:bookmarkStart w:id="37" w:name="environmental-data"/>
    <w:p>
      <w:pPr>
        <w:pStyle w:val="Heading2"/>
      </w:pPr>
      <w:r>
        <w:t xml:space="preserve">6.2 Environmental data</w:t>
      </w:r>
    </w:p>
    <w:bookmarkStart w:id="35"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35"/>
    <w:bookmarkStart w:id="36"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36"/>
    <w:bookmarkEnd w:id="37"/>
    <w:bookmarkEnd w:id="38"/>
    <w:bookmarkStart w:id="45" w:name="time-series-construction"/>
    <w:p>
      <w:pPr>
        <w:pStyle w:val="Heading1"/>
      </w:pPr>
      <w:r>
        <w:t xml:space="preserve">7. Time Series Construction</w:t>
      </w:r>
    </w:p>
    <w:bookmarkStart w:id="39" w:name="staging-occurrence-records"/>
    <w:p>
      <w:pPr>
        <w:pStyle w:val="Heading2"/>
      </w:pPr>
      <w:r>
        <w:t xml:space="preserve">7.1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39"/>
    <w:bookmarkStart w:id="42" w:name="staging-environmental-variables"/>
    <w:p>
      <w:pPr>
        <w:pStyle w:val="Heading2"/>
      </w:pPr>
      <w:r>
        <w:t xml:space="preserve">7.2 Staging environmental variables</w:t>
      </w:r>
    </w:p>
    <w:p>
      <w:pPr>
        <w:pStyle w:val="FirstParagraph"/>
      </w:pPr>
      <w:r>
        <w:t xml:space="preserve">Environmental variables are now staged for time series analysis. Two approaches are available; select only one.</w:t>
      </w:r>
    </w:p>
    <w:bookmarkStart w:id="40"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40"/>
    <w:bookmarkStart w:id="41"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1"/>
    <w:bookmarkEnd w:id="42"/>
    <w:bookmarkStart w:id="43" w:name="reducing-covariance"/>
    <w:p>
      <w:pPr>
        <w:pStyle w:val="Heading2"/>
      </w:pPr>
      <w:r>
        <w:t xml:space="preserve">7.3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43"/>
    <w:bookmarkStart w:id="44" w:name="computing-the-time-series"/>
    <w:p>
      <w:pPr>
        <w:pStyle w:val="Heading2"/>
      </w:pPr>
      <w:r>
        <w:t xml:space="preserve">7.4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44"/>
    <w:bookmarkEnd w:id="45"/>
    <w:bookmarkStart w:id="60" w:name="time-series-analysis"/>
    <w:p>
      <w:pPr>
        <w:pStyle w:val="Heading1"/>
      </w:pPr>
      <w:r>
        <w:t xml:space="preserve">8. Time Series Analysis</w:t>
      </w:r>
    </w:p>
    <w:bookmarkStart w:id="50" w:name="suitability-trend-analysis"/>
    <w:p>
      <w:pPr>
        <w:pStyle w:val="Heading2"/>
      </w:pPr>
      <w:r>
        <w:t xml:space="preserve">8.1 Suitability trend analysis</w:t>
      </w:r>
    </w:p>
    <w:bookmarkStart w:id="46"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46"/>
    <w:bookmarkStart w:id="47"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47"/>
    <w:bookmarkStart w:id="48"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48"/>
    <w:bookmarkStart w:id="49"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49"/>
    <w:bookmarkEnd w:id="50"/>
    <w:bookmarkStart w:id="53" w:name="centroid-trend-analysis"/>
    <w:p>
      <w:pPr>
        <w:pStyle w:val="Heading2"/>
      </w:pPr>
      <w:r>
        <w:t xml:space="preserve">8.2 Centroid trend analysis</w:t>
      </w:r>
    </w:p>
    <w:bookmarkStart w:id="51"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1"/>
    <w:bookmarkStart w:id="52"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verlocity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2"/>
    <w:bookmarkEnd w:id="53"/>
    <w:bookmarkStart w:id="56" w:name="variable-trend-analysis"/>
    <w:p>
      <w:pPr>
        <w:pStyle w:val="Heading2"/>
      </w:pPr>
      <w:r>
        <w:t xml:space="preserve">8.3 Variable trend analysis</w:t>
      </w:r>
    </w:p>
    <w:bookmarkStart w:id="54"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54"/>
    <w:bookmarkStart w:id="55"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55"/>
    <w:bookmarkEnd w:id="56"/>
    <w:bookmarkStart w:id="59" w:name="experimental-metrics"/>
    <w:p>
      <w:pPr>
        <w:pStyle w:val="Heading2"/>
      </w:pPr>
      <w:r>
        <w:t xml:space="preserve">8.4 Experimental metrics</w:t>
      </w:r>
    </w:p>
    <w:bookmarkStart w:id="57"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57"/>
    <w:bookmarkStart w:id="58"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58"/>
    <w:bookmarkEnd w:id="59"/>
    <w:bookmarkEnd w:id="60"/>
    <w:bookmarkStart w:id="64" w:name="report-generation"/>
    <w:p>
      <w:pPr>
        <w:pStyle w:val="Heading1"/>
      </w:pPr>
      <w:r>
        <w:t xml:space="preserve">9.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61" w:name="assemble-suitability-results"/>
    <w:p>
      <w:pPr>
        <w:pStyle w:val="Heading2"/>
      </w:pPr>
      <w:r>
        <w:t xml:space="preserve">9.1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1"/>
    <w:bookmarkStart w:id="62" w:name="assemble-variable-results"/>
    <w:p>
      <w:pPr>
        <w:pStyle w:val="Heading2"/>
      </w:pPr>
      <w:r>
        <w:t xml:space="preserve">9.2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2"/>
    <w:bookmarkStart w:id="63" w:name="assemble-centroid-results"/>
    <w:p>
      <w:pPr>
        <w:pStyle w:val="Heading2"/>
      </w:pPr>
      <w:r>
        <w:t xml:space="preserve">9.3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63"/>
    <w:bookmarkEnd w:id="64"/>
    <w:bookmarkStart w:id="66" w:name="genai-analysis"/>
    <w:p>
      <w:pPr>
        <w:pStyle w:val="Heading1"/>
      </w:pPr>
      <w:r>
        <w:t xml:space="preserve">10. GenAI Analysis</w:t>
      </w:r>
    </w:p>
    <w:bookmarkStart w:id="65" w:name="suitability-trend-analysis-1"/>
    <w:p>
      <w:pPr>
        <w:pStyle w:val="Heading2"/>
      </w:pPr>
      <w:r>
        <w:t xml:space="preserve">10.1 Suitability trend analysis</w:t>
      </w:r>
    </w:p>
    <w:p>
      <w:pPr>
        <w:pStyle w:val="FirstParagraph"/>
      </w:pPr>
      <w:r>
        <w:t xml:space="preserve">This experimental module uses generative AI (GenAI) to support suitability trend analysis. In the first step, the function assembles an AI-ready package containing suitability trend rasters, summary tables, species metadata, and a structured prompt. In the second step, this package is submitted to ChatGPT (GPT-5.1) for analysis. Finally, the generated results are compiled into a PDF document.</w:t>
      </w:r>
    </w:p>
    <w:p>
      <w:pPr>
        <w:pStyle w:val="SourceCode"/>
      </w:pPr>
      <w:r>
        <w:rPr>
          <w:rStyle w:val="CommentTok"/>
        </w:rPr>
        <w:t xml:space="preserve"># # build a data package for submission to ChatGPT</w:t>
      </w:r>
      <w:r>
        <w:br/>
      </w:r>
      <w:r>
        <w:rPr>
          <w:rStyle w:val="CommentTok"/>
        </w:rPr>
        <w:t xml:space="preserve"># rENM.ai::assemble_suitability_ai_package(alpha_code)</w:t>
      </w:r>
      <w:r>
        <w:br/>
      </w:r>
      <w:r>
        <w:rPr>
          <w:rStyle w:val="CommentTok"/>
        </w:rPr>
        <w:t xml:space="preserve"># </w:t>
      </w:r>
      <w:r>
        <w:br/>
      </w:r>
      <w:r>
        <w:rPr>
          <w:rStyle w:val="CommentTok"/>
        </w:rPr>
        <w:t xml:space="preserve"># # submit the package using the OpenAI Reponses API</w:t>
      </w:r>
      <w:r>
        <w:br/>
      </w:r>
      <w:r>
        <w:rPr>
          <w:rStyle w:val="CommentTok"/>
        </w:rPr>
        <w:t xml:space="preserve"># rENM.ai::submit_suitability_ai_package(alpha_code)</w:t>
      </w:r>
      <w:r>
        <w:br/>
      </w:r>
      <w:r>
        <w:rPr>
          <w:rStyle w:val="CommentTok"/>
        </w:rPr>
        <w:t xml:space="preserve"># </w:t>
      </w:r>
      <w:r>
        <w:br/>
      </w:r>
      <w:r>
        <w:rPr>
          <w:rStyle w:val="CommentTok"/>
        </w:rPr>
        <w:t xml:space="preserve"># # render the returned .docx file into a .pdf file</w:t>
      </w:r>
      <w:r>
        <w:br/>
      </w:r>
      <w:r>
        <w:rPr>
          <w:rStyle w:val="CommentTok"/>
        </w:rPr>
        <w:t xml:space="preserve"># rENM.ai::render_ai_docs(alpha_code)</w:t>
      </w:r>
    </w:p>
    <w:bookmarkEnd w:id="65"/>
    <w:bookmarkEnd w:id="66"/>
    <w:bookmarkStart w:id="67" w:name="genai-analysis-dev"/>
    <w:p>
      <w:pPr>
        <w:pStyle w:val="Heading1"/>
      </w:pPr>
      <w:r>
        <w:t xml:space="preserve">11. GenAI Analysis (dev)</w:t>
      </w:r>
    </w:p>
    <w:p>
      <w:pPr>
        <w:pStyle w:val="FirstParagraph"/>
      </w:pPr>
      <w:r>
        <w:t xml:space="preserve">This material is in active development …</w:t>
      </w:r>
    </w:p>
    <w:p>
      <w:pPr>
        <w:pStyle w:val="SourceCode"/>
      </w:pPr>
      <w:r>
        <w:rPr>
          <w:rStyle w:val="CommentTok"/>
        </w:rPr>
        <w:t xml:space="preserve"># devtools::install_github("rENM-Framework/rENM.ai")</w:t>
      </w:r>
      <w:r>
        <w:br/>
      </w:r>
      <w:r>
        <w:rPr>
          <w:rStyle w:val="FunctionTok"/>
        </w:rPr>
        <w:t xml:space="preserve">library</w:t>
      </w:r>
      <w:r>
        <w:rPr>
          <w:rStyle w:val="NormalTok"/>
        </w:rPr>
        <w:t xml:space="preserve">(rENM.dev)</w:t>
      </w:r>
      <w:r>
        <w:br/>
      </w:r>
      <w:r>
        <w:br/>
      </w:r>
      <w:r>
        <w:rPr>
          <w:rStyle w:val="CommentTok"/>
        </w:rPr>
        <w:t xml:space="preserve"># build a data package for submission to ChatGPT</w:t>
      </w:r>
      <w:r>
        <w:br/>
      </w:r>
      <w:r>
        <w:rPr>
          <w:rStyle w:val="NormalTok"/>
        </w:rPr>
        <w:t xml:space="preserve">rENM.dev</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using the OpenAI Reponses API</w:t>
      </w:r>
      <w:r>
        <w:br/>
      </w:r>
      <w:r>
        <w:rPr>
          <w:rStyle w:val="NormalTok"/>
        </w:rPr>
        <w:t xml:space="preserve">rENM.dev</w:t>
      </w:r>
      <w:r>
        <w:rPr>
          <w:rStyle w:val="SpecialCharTok"/>
        </w:rPr>
        <w:t xml:space="preserve">::</w:t>
      </w:r>
      <w:r>
        <w:rPr>
          <w:rStyle w:val="FunctionTok"/>
        </w:rPr>
        <w:t xml:space="preserve">submit_ai_package</w:t>
      </w:r>
      <w:r>
        <w:rPr>
          <w:rStyle w:val="NormalTok"/>
        </w:rPr>
        <w:t xml:space="preserve">(alpha_code)</w:t>
      </w:r>
      <w:r>
        <w:br/>
      </w:r>
      <w:r>
        <w:br/>
      </w:r>
      <w:r>
        <w:rPr>
          <w:rStyle w:val="CommentTok"/>
        </w:rPr>
        <w:t xml:space="preserve"># render the returned .docx file into a .pdf file</w:t>
      </w:r>
      <w:r>
        <w:br/>
      </w:r>
      <w:r>
        <w:rPr>
          <w:rStyle w:val="NormalTok"/>
        </w:rPr>
        <w:t xml:space="preserve">rENM.dev</w:t>
      </w:r>
      <w:r>
        <w:rPr>
          <w:rStyle w:val="SpecialCharTok"/>
        </w:rPr>
        <w:t xml:space="preserve">::</w:t>
      </w:r>
      <w:r>
        <w:rPr>
          <w:rStyle w:val="FunctionTok"/>
        </w:rPr>
        <w:t xml:space="preserve">render_ai_docx</w:t>
      </w:r>
      <w:r>
        <w:rPr>
          <w:rStyle w:val="NormalTok"/>
        </w:rPr>
        <w:t xml:space="preserve">(alpha_code)</w:t>
      </w:r>
    </w:p>
    <w:bookmarkEnd w:id="67"/>
    <w:bookmarkStart w:id="68" w:name="create-final-report"/>
    <w:p>
      <w:pPr>
        <w:pStyle w:val="Heading1"/>
      </w:pPr>
      <w:r>
        <w:t xml:space="preserve">12. Create Final Report</w:t>
      </w:r>
    </w:p>
    <w:p>
      <w:pPr>
        <w:pStyle w:val="SourceCode"/>
      </w:pPr>
      <w:r>
        <w:rPr>
          <w:rStyle w:val="CommentTok"/>
        </w:rPr>
        <w:t xml:space="preserve"># create a final report comprising all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bookmarkEnd w:id="68"/>
    <w:bookmarkStart w:id="69" w:name="automated-workflows"/>
    <w:p>
      <w:pPr>
        <w:pStyle w:val="Heading1"/>
      </w:pPr>
      <w:r>
        <w:t xml:space="preserve">13. Automated Workflows</w:t>
      </w:r>
    </w:p>
    <w:bookmarkEnd w:id="69"/>
    <w:bookmarkStart w:id="74" w:name="appendices"/>
    <w:p>
      <w:pPr>
        <w:pStyle w:val="Heading1"/>
      </w:pPr>
      <w:r>
        <w:t xml:space="preserve">14. APPENDICES</w:t>
      </w:r>
    </w:p>
    <w:bookmarkStart w:id="70" w:name="technical-specifications"/>
    <w:p>
      <w:pPr>
        <w:pStyle w:val="Heading2"/>
      </w:pPr>
      <w:r>
        <w:t xml:space="preserve">14.1 Technical specifications</w:t>
      </w:r>
    </w:p>
    <w:bookmarkEnd w:id="70"/>
    <w:bookmarkStart w:id="73" w:name="data-extensions"/>
    <w:p>
      <w:pPr>
        <w:pStyle w:val="Heading2"/>
      </w:pPr>
      <w:r>
        <w:t xml:space="preserve">14.2 Data extensions</w:t>
      </w:r>
    </w:p>
    <w:bookmarkStart w:id="71" w:name="adding-new-species"/>
    <w:p>
      <w:pPr>
        <w:pStyle w:val="Heading3"/>
      </w:pPr>
      <w:r>
        <w:t xml:space="preserve">- Adding new species</w:t>
      </w:r>
    </w:p>
    <w:bookmarkEnd w:id="71"/>
    <w:bookmarkStart w:id="72" w:name="adding-new-variables"/>
    <w:p>
      <w:pPr>
        <w:pStyle w:val="Heading3"/>
      </w:pPr>
      <w:r>
        <w:t xml:space="preserve">- Adding new variables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371/journal.pone.0237208" TargetMode="External" /><Relationship Type="http://schemas.openxmlformats.org/officeDocument/2006/relationships/hyperlink" Id="rId11" Target="https://doi.org/10.1371/journal.pone.0257502" TargetMode="External" /><Relationship Type="http://schemas.openxmlformats.org/officeDocument/2006/relationships/hyperlink" Id="rId15" Target="https://doi.org/10.1894/0038-4909-70.1.7" TargetMode="External" /><Relationship Type="http://schemas.openxmlformats.org/officeDocument/2006/relationships/hyperlink" Id="rId12" Target="https://doi.org/10.2760/46796." TargetMode="External" /><Relationship Type="http://schemas.openxmlformats.org/officeDocument/2006/relationships/hyperlink" Id="rId13"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18" Target="https://github.com/rENM-Framework/rENM-script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371/journal.pone.0237208" TargetMode="External" /><Relationship Type="http://schemas.openxmlformats.org/officeDocument/2006/relationships/hyperlink" Id="rId11" Target="https://doi.org/10.1371/journal.pone.0257502" TargetMode="External" /><Relationship Type="http://schemas.openxmlformats.org/officeDocument/2006/relationships/hyperlink" Id="rId15" Target="https://doi.org/10.1894/0038-4909-70.1.7" TargetMode="External" /><Relationship Type="http://schemas.openxmlformats.org/officeDocument/2006/relationships/hyperlink" Id="rId12" Target="https://doi.org/10.2760/46796." TargetMode="External" /><Relationship Type="http://schemas.openxmlformats.org/officeDocument/2006/relationships/hyperlink" Id="rId13"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18" Target="https://github.com/rENM-Framework/rENM-scri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2026-04-27T00:41:54Z</dcterms:created>
  <dcterms:modified xsi:type="dcterms:W3CDTF">2026-04-27T00:41:54Z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toc-title">
    <vt:lpwstr>Table of contents</vt:lpwstr>
  </property>
  <property fmtid="{D5CDD505-2E9C-101B-9397-08002B2CF9AE}" pid="14" name="version">
    <vt:lpwstr>0.1.0</vt:lpwstr>
  </property>
</Properties>
</file>