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6.png" ContentType="image/png"/>
  <Override PartName="/word/media/rId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rENM Framework User Manual</w:t>
      </w:r>
    </w:p>
    <w:p>
      <w:pPr>
        <w:pStyle w:val="Subtitle"/>
      </w:pPr>
      <w:r>
        <w:t xml:space="preserve">Version 0.1.0</w:t>
      </w:r>
    </w:p>
    <w:p>
      <w:pPr>
        <w:pStyle w:val="Author"/>
      </w:pPr>
      <w:r>
        <w:t xml:space="preserve">John L. Schnase</w:t>
      </w:r>
    </w:p>
    <w:p>
      <w:pPr>
        <w:pStyle w:val="Date"/>
      </w:pPr>
      <w:r>
        <w:t xml:space="preserve">2026-06-21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tbl>
      <w:tblPr>
        <w:tblStyle w:val="Table"/>
        <w:tblInd w:w="164" w:type="dxa"/>
        <w:tblBorders>
          <w:left w:val="single" w:sz="24" w:space="0" w:color="FC530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p>
            <w:pPr>
              <w:pStyle w:val="BodyText"/>
            </w:pPr>
            <w:pPr>
              <w:spacing w:before="16" w:after="16"/>
            </w:pPr>
            <w:r>
              <w:rPr>
                <w:b/>
                <w:bCs/>
                <w:i/>
                <w:iCs/>
              </w:rPr>
              <w:t xml:space="preserve">Content is subject to ongoing revision and periodic updates …</w:t>
            </w:r>
          </w:p>
        </w:tc>
      </w:tr>
    </w:tbl>
    <w:bookmarkStart w:id="10" w:name="introduction"/>
    <w:p>
      <w:pPr>
        <w:pStyle w:val="Heading1"/>
      </w:pPr>
      <w:r>
        <w:t xml:space="preserve">Introduction</w:t>
      </w:r>
    </w:p>
    <w:p>
      <w:pPr>
        <w:pStyle w:val="FirstParagraph"/>
      </w:pPr>
      <w:r>
        <w:t xml:space="preserve">The rENM Framework is a modular suite of R packages designed to support the development and analysis of retrospective ecological niche models (rENMs). Retrospective ecological niche modeling integrates historical species occurrence records with historical environmental data to reconstruct the spatio-temporal dynamics of species’ responses to changing environmental conditions.</w:t>
      </w:r>
    </w:p>
    <w:p>
      <w:pPr>
        <w:pStyle w:val="BodyText"/>
      </w:pPr>
      <w:r>
        <w:t xml:space="preserve">By revealing long-term patterns, rENMs provide an empirical basis for addressing biological questions and assessing both the current and future conservation status of species. Rather than treating ecological niche models as static representations, the rENM Framework uses time-structured modeling to reveal:</w:t>
      </w:r>
    </w:p>
    <w:p>
      <w:pPr>
        <w:pStyle w:val="Compact"/>
        <w:numPr>
          <w:ilvl w:val="0"/>
          <w:numId w:val="1001"/>
        </w:numPr>
      </w:pPr>
      <w:r>
        <w:t xml:space="preserve">Long-term trends in climatic suitability for a species</w:t>
      </w:r>
    </w:p>
    <w:p>
      <w:pPr>
        <w:pStyle w:val="Compact"/>
        <w:numPr>
          <w:ilvl w:val="0"/>
          <w:numId w:val="1001"/>
        </w:numPr>
      </w:pPr>
      <w:r>
        <w:t xml:space="preserve">Acceleration and deceleration of those trends</w:t>
      </w:r>
    </w:p>
    <w:p>
      <w:pPr>
        <w:pStyle w:val="Compact"/>
        <w:numPr>
          <w:ilvl w:val="0"/>
          <w:numId w:val="1001"/>
        </w:numPr>
      </w:pPr>
      <w:r>
        <w:t xml:space="preserve">Directional change in suitability and shifts in the suitability-weighted geographic center of a species’ climatic niche</w:t>
      </w:r>
    </w:p>
    <w:p>
      <w:pPr>
        <w:pStyle w:val="Compact"/>
        <w:numPr>
          <w:ilvl w:val="0"/>
          <w:numId w:val="1001"/>
        </w:numPr>
      </w:pPr>
      <w:r>
        <w:t xml:space="preserve">Changes in the relative importance of environmental predictors across decades</w:t>
      </w:r>
    </w:p>
    <w:p>
      <w:pPr>
        <w:pStyle w:val="Compact"/>
        <w:numPr>
          <w:ilvl w:val="0"/>
          <w:numId w:val="1001"/>
        </w:numPr>
      </w:pPr>
      <w:r>
        <w:t xml:space="preserve">Bioclimatic velocity</w:t>
      </w:r>
    </w:p>
    <w:p>
      <w:pPr>
        <w:pStyle w:val="Compact"/>
        <w:numPr>
          <w:ilvl w:val="0"/>
          <w:numId w:val="1001"/>
        </w:numPr>
      </w:pPr>
      <w:r>
        <w:t xml:space="preserve">Hotspots of accelerating suitability decline</w:t>
      </w:r>
    </w:p>
    <w:p>
      <w:pPr>
        <w:pStyle w:val="FirstParagraph"/>
      </w:pPr>
      <w:r>
        <w:t xml:space="preserve">Although this analytical approach is broadly applicable across taxa, the current implementation of the rENM Framework is designed to investigate climate-driven dynamics in North American bird species. The framework spans 45 years (1980–2024), leveraging citizen science observations from the Cornell Lab of Ornithology’s eBird database alongside environmental data derived from NASA’s Modern-Era Retrospective Analysis for Research and Applications, Version 2 (MERRA-2).</w:t>
      </w:r>
    </w:p>
    <w:p>
      <w:pPr>
        <w:pStyle w:val="BodyText"/>
      </w:pPr>
      <w:r>
        <w:t xml:space="preserve">This manual guides users through the rENM modeling and analysis workflow. Detailed documentation for individual functions is available within the respective package manuals. Additional information about this work can be found in the Appendix A publications and the project’s GitHub repository at:</w:t>
      </w:r>
      <w:r>
        <w:t xml:space="preserve"> </w:t>
      </w:r>
      <w:hyperlink r:id="rId9">
        <w:r>
          <w:rPr>
            <w:rStyle w:val="Hyperlink"/>
          </w:rPr>
          <w:t xml:space="preserve">https://github.com/rENM-Framework</w:t>
        </w:r>
      </w:hyperlink>
      <w:r>
        <w:t xml:space="preserve">.</w:t>
      </w:r>
    </w:p>
    <w:p>
      <w:pPr>
        <w:pStyle w:val="BodyText"/>
      </w:pPr>
      <w:r>
        <w:t xml:space="preserve">The rENM Framework is an active research platform under ongoing development. It is provided for educational and research purposes only and is distributed without formal technical support. Feedback and contributions are welcome.</w:t>
      </w:r>
    </w:p>
    <w:p>
      <w:pPr>
        <w:pStyle w:val="BodyText"/>
      </w:pPr>
      <w:r>
        <w:t xml:space="preserve">Thank you for your interest.</w:t>
      </w:r>
    </w:p>
    <w:p>
      <w:pPr>
        <w:pStyle w:val="BodyText"/>
      </w:pPr>
      <w:r>
        <w:t xml:space="preserve">John Schnase</w:t>
      </w:r>
      <w:r>
        <w:br/>
      </w:r>
      <w:r>
        <w:t xml:space="preserve">rENM.Framework@gmail.com</w:t>
      </w:r>
    </w:p>
    <w:p>
      <w:r>
        <w:br w:type="page"/>
      </w:r>
    </w:p>
    <w:bookmarkEnd w:id="10"/>
    <w:bookmarkStart w:id="17" w:name="the-renm-workflow"/>
    <w:p>
      <w:pPr>
        <w:pStyle w:val="Heading1"/>
      </w:pPr>
      <w:r>
        <w:t xml:space="preserve">The rENM Workflow</w:t>
      </w:r>
    </w:p>
    <w:p>
      <w:pPr>
        <w:pStyle w:val="FirstParagraph"/>
      </w:pPr>
      <w:r>
        <w:drawing>
          <wp:inline>
            <wp:extent cx="5334000" cy="502347"/>
            <wp:effectExtent b="0" l="0" r="0" t="0"/>
            <wp:docPr descr="" title="" id="12" name="Picture"/>
            <a:graphic>
              <a:graphicData uri="http://schemas.openxmlformats.org/drawingml/2006/picture">
                <pic:pic>
                  <pic:nvPicPr>
                    <pic:cNvPr descr="images/clipboard-2962903405.png" id="13" name="Picture"/>
                    <pic:cNvPicPr>
                      <a:picLocks noChangeArrowheads="1" noChangeAspect="1"/>
                    </pic:cNvPicPr>
                  </pic:nvPicPr>
                  <pic:blipFill>
                    <a:blip r:embed="rId11"/>
                    <a:stretch>
                      <a:fillRect/>
                    </a:stretch>
                  </pic:blipFill>
                  <pic:spPr bwMode="auto">
                    <a:xfrm>
                      <a:off x="0" y="0"/>
                      <a:ext cx="5334000" cy="502347"/>
                    </a:xfrm>
                    <a:prstGeom prst="rect">
                      <a:avLst/>
                    </a:prstGeom>
                    <a:noFill/>
                    <a:ln w="9525">
                      <a:noFill/>
                      <a:headEnd/>
                      <a:tailEnd/>
                    </a:ln>
                  </pic:spPr>
                </pic:pic>
              </a:graphicData>
            </a:graphic>
          </wp:inline>
        </w:drawing>
      </w:r>
    </w:p>
    <w:p>
      <w:pPr>
        <w:pStyle w:val="BodyText"/>
      </w:pPr>
      <w:r>
        <w:t xml:space="preserve">The rENM processing pipeline consists of five core steps, including an optional, experimental GenAI-mediated interpretation step. One way to engage this workflow is by using this Quarto Markdown (.qmd) document as an interactive user manual. It becomes a reproducible, executable scientific document that combines code, results, and narrative into a single, renderable file.</w:t>
      </w:r>
    </w:p>
    <w:bookmarkStart w:id="14" w:name="using-the-quarto-document"/>
    <w:p>
      <w:pPr>
        <w:pStyle w:val="Heading2"/>
      </w:pPr>
      <w:r>
        <w:t xml:space="preserve">Using the Quarto document</w:t>
      </w:r>
    </w:p>
    <w:p>
      <w:pPr>
        <w:pStyle w:val="FirstParagraph"/>
      </w:pPr>
      <w:r>
        <w:t xml:space="preserve">After initially configuring your host environment and RStudio environment (see</w:t>
      </w:r>
      <w:r>
        <w:t xml:space="preserve"> </w:t>
      </w:r>
      <w:r>
        <w:rPr>
          <w:i/>
          <w:iCs/>
        </w:rPr>
        <w:t xml:space="preserve">Configuring the Host Environment</w:t>
      </w:r>
      <w:r>
        <w:t xml:space="preserve"> </w:t>
      </w:r>
      <w:r>
        <w:t xml:space="preserve">and</w:t>
      </w:r>
      <w:r>
        <w:t xml:space="preserve"> </w:t>
      </w:r>
      <w:r>
        <w:rPr>
          <w:i/>
          <w:iCs/>
        </w:rPr>
        <w:t xml:space="preserve">Configuring the RStudio Environment</w:t>
      </w:r>
      <w:r>
        <w:t xml:space="preserve"> </w:t>
      </w:r>
      <w:r>
        <w:t xml:space="preserve">below), set the species banding code and step through each section in sequence, reading the narrative description of each processing step and executing the accompanying code block before moving on. This mode is well suited to users who are learning the framework.</w:t>
      </w:r>
    </w:p>
    <w:p>
      <w:pPr>
        <w:pStyle w:val="BodyText"/>
      </w:pPr>
      <w:r>
        <w:t xml:space="preserve">You may also copy the</w:t>
      </w:r>
      <w:r>
        <w:t xml:space="preserve"> </w:t>
      </w:r>
      <w:r>
        <w:rPr>
          <w:i/>
          <w:iCs/>
        </w:rPr>
        <w:t xml:space="preserve">rENM-Framework-User-Manual.qmd</w:t>
      </w:r>
      <w:r>
        <w:t xml:space="preserve"> </w:t>
      </w:r>
      <w:r>
        <w:t xml:space="preserve">file, rename it, and use it as a customized, reproducible analysis notebook for your own species or study system. Because the document combines function calls, parameter settings, and narrative in a single file, it can serve alongside a run’s output directory as a complete and portable record of the analysis.</w:t>
      </w:r>
    </w:p>
    <w:p>
      <w:pPr>
        <w:pStyle w:val="BodyText"/>
      </w:pPr>
      <w:r>
        <w:t xml:space="preserve">Finally, from the RStudio</w:t>
      </w:r>
      <w:r>
        <w:t xml:space="preserve"> </w:t>
      </w:r>
      <w:r>
        <w:rPr>
          <w:rStyle w:val="VerbatimChar"/>
          <w:b/>
          <w:bCs/>
        </w:rPr>
        <w:t xml:space="preserve">Run</w:t>
      </w:r>
      <w:r>
        <w:t xml:space="preserve"> </w:t>
      </w:r>
      <w:r>
        <w:t xml:space="preserve">drop-down menu, select</w:t>
      </w:r>
      <w:r>
        <w:t xml:space="preserve"> </w:t>
      </w:r>
      <w:r>
        <w:rPr>
          <w:i/>
          <w:iCs/>
        </w:rPr>
        <w:t xml:space="preserve">Restart R and Run All Chunks</w:t>
      </w:r>
      <w:r>
        <w:t xml:space="preserve"> </w:t>
      </w:r>
      <w:r>
        <w:t xml:space="preserve">to execute the entire workflow automatically, without stepping through it manually.</w:t>
      </w:r>
    </w:p>
    <w:bookmarkEnd w:id="14"/>
    <w:bookmarkStart w:id="15" w:name="automated-scripting"/>
    <w:p>
      <w:pPr>
        <w:pStyle w:val="Heading2"/>
      </w:pPr>
      <w:r>
        <w:t xml:space="preserve">Automated scripting</w:t>
      </w:r>
    </w:p>
    <w:p>
      <w:pPr>
        <w:pStyle w:val="FirstParagraph"/>
      </w:pPr>
      <w:r>
        <w:t xml:space="preserve">If you prefer not to run an rENM analysis step by step, you can execute the full pipeline from the RStudio console with a single function call. For example:</w:t>
      </w:r>
      <w:r>
        <w:t xml:space="preserve"> </w:t>
      </w:r>
      <w:r>
        <w:rPr>
          <w:rStyle w:val="VerbatimChar"/>
        </w:rPr>
        <w:t xml:space="preserve">rENM("CASP")</w:t>
      </w:r>
      <w:r>
        <w:t xml:space="preserve">. Enter</w:t>
      </w:r>
      <w:r>
        <w:t xml:space="preserve"> </w:t>
      </w:r>
      <w:r>
        <w:rPr>
          <w:rStyle w:val="VerbatimChar"/>
        </w:rPr>
        <w:t xml:space="preserve">?rENM</w:t>
      </w:r>
      <w:r>
        <w:t xml:space="preserve"> </w:t>
      </w:r>
      <w:r>
        <w:t xml:space="preserve">in the RStudio console for details.</w:t>
      </w:r>
    </w:p>
    <w:bookmarkEnd w:id="15"/>
    <w:bookmarkStart w:id="16" w:name="document-rendering-options"/>
    <w:p>
      <w:pPr>
        <w:pStyle w:val="Heading2"/>
      </w:pPr>
      <w:r>
        <w:t xml:space="preserve">Document rendering options</w:t>
      </w:r>
    </w:p>
    <w:p>
      <w:pPr>
        <w:pStyle w:val="FirstParagraph"/>
      </w:pPr>
      <w:r>
        <w:t xml:space="preserve">If you use the</w:t>
      </w:r>
      <w:r>
        <w:t xml:space="preserve"> </w:t>
      </w:r>
      <w:r>
        <w:rPr>
          <w:i/>
          <w:iCs/>
        </w:rPr>
        <w:t xml:space="preserve">rENM-Framework-User-Manual.qmd</w:t>
      </w:r>
      <w:r>
        <w:t xml:space="preserve"> </w:t>
      </w:r>
      <w:r>
        <w:t xml:space="preserve">file as a template for your own species or study system, RStudio’s Quarto rendering engine can convert it to multiple output formats from the</w:t>
      </w:r>
      <w:r>
        <w:t xml:space="preserve"> </w:t>
      </w:r>
      <w:r>
        <w:rPr>
          <w:rStyle w:val="VerbatimChar"/>
        </w:rPr>
        <w:t xml:space="preserve">Render</w:t>
      </w:r>
      <w:r>
        <w:t xml:space="preserve"> </w:t>
      </w:r>
      <w:r>
        <w:t xml:space="preserve">drop-down menu, including HTML, PDF, and Microsoft Word (DOCX). A Jupyter Notebook (IPYNB) version can also be rendered, producing a notebook that executes the same rENM Framework functions in an R kernel environment and making the workflow accessible to users who prefer the Jupyter interface without requiring any modification to the underlying R code.</w:t>
      </w:r>
    </w:p>
    <w:bookmarkEnd w:id="16"/>
    <w:bookmarkEnd w:id="17"/>
    <w:bookmarkStart w:id="24" w:name="system-requirements"/>
    <w:p>
      <w:pPr>
        <w:pStyle w:val="Heading1"/>
      </w:pPr>
      <w:r>
        <w:t xml:space="preserve">System Requirements</w:t>
      </w:r>
    </w:p>
    <w:p>
      <w:pPr>
        <w:pStyle w:val="FirstParagraph"/>
      </w:pPr>
      <w:r>
        <w:t xml:space="preserve">The rENM Framework requires R (≥ 4.1.0) and two external software dependencies, LibreOffice and Chrome or Chromium, that must be installed separately before the full pipeline can run. The Framework has been developed and tested on macOS and is expected to be compatible with Linux. Windows users may experience longer run times due to limited support for parallel processing on that platform. All R package dependencies are installed automatically when you install the framework packages from GitHub (see</w:t>
      </w:r>
      <w:r>
        <w:t xml:space="preserve"> </w:t>
      </w:r>
      <w:r>
        <w:rPr>
          <w:i/>
          <w:iCs/>
        </w:rPr>
        <w:t xml:space="preserve">Installing the Framework Packages</w:t>
      </w:r>
      <w:r>
        <w:t xml:space="preserve"> </w:t>
      </w:r>
      <w:r>
        <w:t xml:space="preserve">below).</w:t>
      </w:r>
    </w:p>
    <w:bookmarkStart w:id="18" w:name="r-package-dependencies"/>
    <w:p>
      <w:pPr>
        <w:pStyle w:val="Heading2"/>
      </w:pPr>
      <w:r>
        <w:t xml:space="preserve">R package dependencies</w:t>
      </w:r>
    </w:p>
    <w:p>
      <w:pPr>
        <w:pStyle w:val="FirstParagraph"/>
      </w:pPr>
      <w:r>
        <w:t xml:space="preserve">Two framework packages pull in heavy R dependencies worth anticipating before installation:</w:t>
      </w:r>
    </w:p>
    <w:p>
      <w:pPr>
        <w:pStyle w:val="Compact"/>
        <w:numPr>
          <w:ilvl w:val="0"/>
          <w:numId w:val="1002"/>
        </w:numPr>
      </w:pPr>
      <w:r>
        <w:rPr>
          <w:rStyle w:val="VerbatimChar"/>
          <w:b/>
          <w:bCs/>
        </w:rPr>
        <w:t xml:space="preserve">rENM.model</w:t>
      </w:r>
      <w:r>
        <w:t xml:space="preserve"> </w:t>
      </w:r>
      <w:r>
        <w:t xml:space="preserve">depends on</w:t>
      </w:r>
      <w:r>
        <w:t xml:space="preserve"> </w:t>
      </w:r>
      <w:r>
        <w:rPr>
          <w:rStyle w:val="VerbatimChar"/>
        </w:rPr>
        <w:t xml:space="preserve">sdm</w:t>
      </w:r>
      <w:r>
        <w:t xml:space="preserve">, which requires</w:t>
      </w:r>
      <w:r>
        <w:t xml:space="preserve"> </w:t>
      </w:r>
      <w:r>
        <w:rPr>
          <w:rStyle w:val="VerbatimChar"/>
        </w:rPr>
        <w:t xml:space="preserve">randomForest</w:t>
      </w:r>
      <w:r>
        <w:t xml:space="preserve">,</w:t>
      </w:r>
      <w:r>
        <w:t xml:space="preserve"> </w:t>
      </w:r>
      <w:r>
        <w:rPr>
          <w:rStyle w:val="VerbatimChar"/>
        </w:rPr>
        <w:t xml:space="preserve">gbm</w:t>
      </w:r>
      <w:r>
        <w:t xml:space="preserve">, and</w:t>
      </w:r>
      <w:r>
        <w:t xml:space="preserve"> </w:t>
      </w:r>
      <w:r>
        <w:rPr>
          <w:rStyle w:val="VerbatimChar"/>
        </w:rPr>
        <w:t xml:space="preserve">earth</w:t>
      </w:r>
      <w:r>
        <w:t xml:space="preserve"> </w:t>
      </w:r>
      <w:r>
        <w:t xml:space="preserve">as modeling back-ends. These are installed on first use.</w:t>
      </w:r>
    </w:p>
    <w:p>
      <w:pPr>
        <w:pStyle w:val="Compact"/>
        <w:numPr>
          <w:ilvl w:val="0"/>
          <w:numId w:val="1002"/>
        </w:numPr>
      </w:pPr>
      <w:r>
        <w:rPr>
          <w:rStyle w:val="VerbatimChar"/>
          <w:b/>
          <w:bCs/>
        </w:rPr>
        <w:t xml:space="preserve">rENM.analysis</w:t>
      </w:r>
      <w:r>
        <w:t xml:space="preserve"> </w:t>
      </w:r>
      <w:r>
        <w:t xml:space="preserve">depends on</w:t>
      </w:r>
      <w:r>
        <w:t xml:space="preserve"> </w:t>
      </w:r>
      <w:r>
        <w:rPr>
          <w:rStyle w:val="VerbatimChar"/>
        </w:rPr>
        <w:t xml:space="preserve">rstanarm</w:t>
      </w:r>
      <w:r>
        <w:t xml:space="preserve"> </w:t>
      </w:r>
      <w:r>
        <w:t xml:space="preserve">for Bayesian trend estimation.</w:t>
      </w:r>
      <w:r>
        <w:t xml:space="preserve"> </w:t>
      </w:r>
      <w:r>
        <w:rPr>
          <w:rStyle w:val="VerbatimChar"/>
        </w:rPr>
        <w:t xml:space="preserve">rstanarm</w:t>
      </w:r>
      <w:r>
        <w:t xml:space="preserve"> </w:t>
      </w:r>
      <w:r>
        <w:t xml:space="preserve">is large and may take several minutes to compile on first install.</w:t>
      </w:r>
    </w:p>
    <w:p>
      <w:pPr>
        <w:pStyle w:val="FirstParagraph"/>
      </w:pPr>
      <w:r>
        <w:t xml:space="preserve">The</w:t>
      </w:r>
      <w:r>
        <w:t xml:space="preserve"> </w:t>
      </w:r>
      <w:r>
        <w:rPr>
          <w:rStyle w:val="VerbatimChar"/>
        </w:rPr>
        <w:t xml:space="preserve">rENM.reports</w:t>
      </w:r>
      <w:r>
        <w:t xml:space="preserve"> </w:t>
      </w:r>
      <w:r>
        <w:t xml:space="preserve">package uses</w:t>
      </w:r>
      <w:r>
        <w:t xml:space="preserve"> </w:t>
      </w:r>
      <w:r>
        <w:rPr>
          <w:rStyle w:val="VerbatimChar"/>
        </w:rPr>
        <w:t xml:space="preserve">webshot2</w:t>
      </w:r>
      <w:r>
        <w:t xml:space="preserve">,</w:t>
      </w:r>
      <w:r>
        <w:t xml:space="preserve"> </w:t>
      </w:r>
      <w:r>
        <w:rPr>
          <w:rStyle w:val="VerbatimChar"/>
        </w:rPr>
        <w:t xml:space="preserve">pagedown</w:t>
      </w:r>
      <w:r>
        <w:t xml:space="preserve">, and</w:t>
      </w:r>
      <w:r>
        <w:t xml:space="preserve"> </w:t>
      </w:r>
      <w:r>
        <w:rPr>
          <w:rStyle w:val="VerbatimChar"/>
        </w:rPr>
        <w:t xml:space="preserve">chromote</w:t>
      </w:r>
      <w:r>
        <w:t xml:space="preserve"> </w:t>
      </w:r>
      <w:r>
        <w:t xml:space="preserve">for PNG and PDF rendering of summary tables. These are optional and must be installed separately (see</w:t>
      </w:r>
      <w:r>
        <w:t xml:space="preserve"> </w:t>
      </w:r>
      <w:r>
        <w:rPr>
          <w:i/>
          <w:iCs/>
        </w:rPr>
        <w:t xml:space="preserve">Chrome or Chromium</w:t>
      </w:r>
      <w:r>
        <w:t xml:space="preserve"> </w:t>
      </w:r>
      <w:r>
        <w:t xml:space="preserve">below). The Excel (XLSX) output from summary table functions is always written regardless of whether these packages are installed.</w:t>
      </w:r>
    </w:p>
    <w:bookmarkEnd w:id="18"/>
    <w:bookmarkStart w:id="20" w:name="libreoffice"/>
    <w:p>
      <w:pPr>
        <w:pStyle w:val="Heading2"/>
      </w:pPr>
      <w:r>
        <w:t xml:space="preserve">LibreOffice</w:t>
      </w:r>
    </w:p>
    <w:p>
      <w:pPr>
        <w:pStyle w:val="FirstParagraph"/>
      </w:pPr>
      <w:r>
        <w:rPr>
          <w:rStyle w:val="VerbatimChar"/>
        </w:rPr>
        <w:t xml:space="preserve">rENM.ai::render_ai_docx()</w:t>
      </w:r>
      <w:r>
        <w:t xml:space="preserve"> </w:t>
      </w:r>
      <w:r>
        <w:t xml:space="preserve">converts AI-generated DOCX reports to PDF using LibreOffice in headless mode. LibreOffice must be installed before using that function.</w:t>
      </w:r>
    </w:p>
    <w:p>
      <w:pPr>
        <w:pStyle w:val="BodyText"/>
      </w:pPr>
      <w:r>
        <w:t xml:space="preserve">Download from</w:t>
      </w:r>
      <w:r>
        <w:t xml:space="preserve"> </w:t>
      </w:r>
      <w:hyperlink r:id="rId19">
        <w:r>
          <w:rPr>
            <w:rStyle w:val="Hyperlink"/>
          </w:rPr>
          <w:t xml:space="preserve">https://www.libreoffice.org</w:t>
        </w:r>
      </w:hyperlink>
      <w:r>
        <w:t xml:space="preserve">. On macOS, LibreOffice installs to</w:t>
      </w:r>
      <w:r>
        <w:t xml:space="preserve"> </w:t>
      </w:r>
      <w:r>
        <w:rPr>
          <w:rStyle w:val="VerbatimChar"/>
        </w:rPr>
        <w:t xml:space="preserve">/Applications</w:t>
      </w:r>
      <w:r>
        <w:t xml:space="preserve"> </w:t>
      </w:r>
      <w:r>
        <w:t xml:space="preserve">but its</w:t>
      </w:r>
      <w:r>
        <w:t xml:space="preserve"> </w:t>
      </w:r>
      <w:r>
        <w:rPr>
          <w:rStyle w:val="VerbatimChar"/>
        </w:rPr>
        <w:t xml:space="preserve">soffice</w:t>
      </w:r>
      <w:r>
        <w:t xml:space="preserve"> </w:t>
      </w:r>
      <w:r>
        <w:t xml:space="preserve">binary is not added to</w:t>
      </w:r>
      <w:r>
        <w:t xml:space="preserve"> </w:t>
      </w:r>
      <w:r>
        <w:rPr>
          <w:rStyle w:val="VerbatimChar"/>
        </w:rPr>
        <w:t xml:space="preserve">PATH</w:t>
      </w:r>
      <w:r>
        <w:t xml:space="preserve"> </w:t>
      </w:r>
      <w:r>
        <w:t xml:space="preserve">automatically. Run this once in Terminal after installing:</w:t>
      </w:r>
    </w:p>
    <w:p>
      <w:pPr>
        <w:pStyle w:val="SourceCode"/>
      </w:pPr>
      <w:r>
        <w:rPr>
          <w:rStyle w:val="FunctionTok"/>
        </w:rPr>
        <w:t xml:space="preserve">sudo</w:t>
      </w:r>
      <w:r>
        <w:rPr>
          <w:rStyle w:val="NormalTok"/>
        </w:rPr>
        <w:t xml:space="preserve"> ln </w:t>
      </w:r>
      <w:r>
        <w:rPr>
          <w:rStyle w:val="AttributeTok"/>
        </w:rPr>
        <w:t xml:space="preserve">-s</w:t>
      </w:r>
      <w:r>
        <w:rPr>
          <w:rStyle w:val="NormalTok"/>
        </w:rPr>
        <w:t xml:space="preserve"> /Applications/LibreOffice.app/Contents/MacOS/soffice /usr/local/bin/soffice</w:t>
      </w:r>
    </w:p>
    <w:p>
      <w:pPr>
        <w:pStyle w:val="FirstParagraph"/>
      </w:pPr>
      <w:r>
        <w:t xml:space="preserve">On Linux, install via your package manager (e.g.,</w:t>
      </w:r>
      <w:r>
        <w:t xml:space="preserve"> </w:t>
      </w:r>
      <w:r>
        <w:rPr>
          <w:rStyle w:val="VerbatimChar"/>
        </w:rPr>
        <w:t xml:space="preserve">apt install libreoffice</w:t>
      </w:r>
      <w:r>
        <w:t xml:space="preserve">);</w:t>
      </w:r>
      <w:r>
        <w:t xml:space="preserve"> </w:t>
      </w:r>
      <w:r>
        <w:rPr>
          <w:rStyle w:val="VerbatimChar"/>
        </w:rPr>
        <w:t xml:space="preserve">soffice</w:t>
      </w:r>
      <w:r>
        <w:t xml:space="preserve"> </w:t>
      </w:r>
      <w:r>
        <w:t xml:space="preserve">is placed on</w:t>
      </w:r>
      <w:r>
        <w:t xml:space="preserve"> </w:t>
      </w:r>
      <w:r>
        <w:rPr>
          <w:rStyle w:val="VerbatimChar"/>
        </w:rPr>
        <w:t xml:space="preserve">PATH</w:t>
      </w:r>
      <w:r>
        <w:t xml:space="preserve"> </w:t>
      </w:r>
      <w:r>
        <w:t xml:space="preserve">automatically. If LibreOffice is absent when</w:t>
      </w:r>
      <w:r>
        <w:t xml:space="preserve"> </w:t>
      </w:r>
      <w:r>
        <w:rPr>
          <w:rStyle w:val="VerbatimChar"/>
        </w:rPr>
        <w:t xml:space="preserve">render_ai_docx()</w:t>
      </w:r>
      <w:r>
        <w:t xml:space="preserve"> </w:t>
      </w:r>
      <w:r>
        <w:t xml:space="preserve">is called, a clear error message is displayed with installation instructions.</w:t>
      </w:r>
    </w:p>
    <w:bookmarkEnd w:id="20"/>
    <w:bookmarkStart w:id="22" w:name="chrome-or-chromium"/>
    <w:p>
      <w:pPr>
        <w:pStyle w:val="Heading2"/>
      </w:pPr>
      <w:r>
        <w:t xml:space="preserve">Chrome or Chromium</w:t>
      </w:r>
    </w:p>
    <w:p>
      <w:pPr>
        <w:pStyle w:val="FirstParagraph"/>
      </w:pPr>
      <w:r>
        <w:rPr>
          <w:rStyle w:val="VerbatimChar"/>
        </w:rPr>
        <w:t xml:space="preserve">rENM.reports</w:t>
      </w:r>
      <w:r>
        <w:t xml:space="preserve"> </w:t>
      </w:r>
      <w:r>
        <w:t xml:space="preserve">renders summary tables as PNG and PDF files by driving a headless Chrome browser via the</w:t>
      </w:r>
      <w:r>
        <w:t xml:space="preserve"> </w:t>
      </w:r>
      <w:r>
        <w:rPr>
          <w:rStyle w:val="VerbatimChar"/>
        </w:rPr>
        <w:t xml:space="preserve">chromote</w:t>
      </w:r>
      <w:r>
        <w:t xml:space="preserve">,</w:t>
      </w:r>
      <w:r>
        <w:t xml:space="preserve"> </w:t>
      </w:r>
      <w:r>
        <w:rPr>
          <w:rStyle w:val="VerbatimChar"/>
        </w:rPr>
        <w:t xml:space="preserve">webshot2</w:t>
      </w:r>
      <w:r>
        <w:t xml:space="preserve">, and</w:t>
      </w:r>
      <w:r>
        <w:t xml:space="preserve"> </w:t>
      </w:r>
      <w:r>
        <w:rPr>
          <w:rStyle w:val="VerbatimChar"/>
        </w:rPr>
        <w:t xml:space="preserve">pagedown</w:t>
      </w:r>
      <w:r>
        <w:t xml:space="preserve"> </w:t>
      </w:r>
      <w:r>
        <w:t xml:space="preserve">packages. Install these R packages first:</w:t>
      </w:r>
    </w:p>
    <w:p>
      <w:pPr>
        <w:pStyle w:val="SourceCode"/>
      </w:pP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"chromote"</w:t>
      </w:r>
      <w:r>
        <w:rPr>
          <w:rStyle w:val="NormalTok"/>
        </w:rPr>
        <w:t xml:space="preserve">, </w:t>
      </w:r>
      <w:r>
        <w:rPr>
          <w:rStyle w:val="StringTok"/>
        </w:rPr>
        <w:t xml:space="preserve">"webshot2"</w:t>
      </w:r>
      <w:r>
        <w:rPr>
          <w:rStyle w:val="NormalTok"/>
        </w:rPr>
        <w:t xml:space="preserve">, </w:t>
      </w:r>
      <w:r>
        <w:rPr>
          <w:rStyle w:val="StringTok"/>
        </w:rPr>
        <w:t xml:space="preserve">"pagedown"</w:t>
      </w:r>
      <w:r>
        <w:rPr>
          <w:rStyle w:val="NormalTok"/>
        </w:rPr>
        <w:t xml:space="preserve">))</w:t>
      </w:r>
    </w:p>
    <w:p>
      <w:pPr>
        <w:pStyle w:val="FirstParagraph"/>
      </w:pPr>
      <w:r>
        <w:t xml:space="preserve">Then verify Chrome is found before running the pipeline:</w:t>
      </w:r>
    </w:p>
    <w:p>
      <w:pPr>
        <w:pStyle w:val="SourceCode"/>
      </w:pPr>
      <w:r>
        <w:rPr>
          <w:rStyle w:val="NormalTok"/>
        </w:rPr>
        <w:t xml:space="preserve">chromote</w:t>
      </w:r>
      <w:r>
        <w:rPr>
          <w:rStyle w:val="SpecialCharTok"/>
        </w:rPr>
        <w:t xml:space="preserve">::</w:t>
      </w:r>
      <w:r>
        <w:rPr>
          <w:rStyle w:val="FunctionTok"/>
        </w:rPr>
        <w:t xml:space="preserve">find_chrome</w:t>
      </w:r>
      <w:r>
        <w:rPr>
          <w:rStyle w:val="NormalTok"/>
        </w:rPr>
        <w:t xml:space="preserve">()</w:t>
      </w:r>
    </w:p>
    <w:p>
      <w:pPr>
        <w:pStyle w:val="FirstParagraph"/>
      </w:pPr>
      <w:r>
        <w:t xml:space="preserve">If that call throws an error, install Google Chrome from</w:t>
      </w:r>
      <w:r>
        <w:t xml:space="preserve"> </w:t>
      </w:r>
      <w:hyperlink r:id="rId21">
        <w:r>
          <w:rPr>
            <w:rStyle w:val="Hyperlink"/>
          </w:rPr>
          <w:t xml:space="preserve">https://www.google.com/chrome/</w:t>
        </w:r>
      </w:hyperlink>
      <w:r>
        <w:t xml:space="preserve"> </w:t>
      </w:r>
      <w:r>
        <w:t xml:space="preserve">and re-run</w:t>
      </w:r>
      <w:r>
        <w:t xml:space="preserve"> </w:t>
      </w:r>
      <w:r>
        <w:rPr>
          <w:rStyle w:val="VerbatimChar"/>
        </w:rPr>
        <w:t xml:space="preserve">chromote::find_chrome()</w:t>
      </w:r>
      <w:r>
        <w:t xml:space="preserve"> </w:t>
      </w:r>
      <w:r>
        <w:t xml:space="preserve">to confirm. If Chrome is unavailable at runtime, PNG and PDF outputs from the summary table functions are silently skipped with a console note; the XLSX output is always written regardless.</w:t>
      </w:r>
    </w:p>
    <w:bookmarkEnd w:id="22"/>
    <w:bookmarkStart w:id="23" w:name="troubleshooting-package-installation"/>
    <w:p>
      <w:pPr>
        <w:pStyle w:val="Heading2"/>
      </w:pPr>
      <w:r>
        <w:t xml:space="preserve">Troubleshooting package installation</w:t>
      </w:r>
    </w:p>
    <w:p>
      <w:pPr>
        <w:pStyle w:val="FirstParagraph"/>
      </w:pPr>
      <w:r>
        <w:t xml:space="preserve">The rENM Framework uses</w:t>
      </w:r>
      <w:r>
        <w:t xml:space="preserve"> </w:t>
      </w:r>
      <w:r>
        <w:rPr>
          <w:rStyle w:val="VerbatimChar"/>
        </w:rPr>
        <w:t xml:space="preserve">paletteer</w:t>
      </w:r>
      <w:r>
        <w:t xml:space="preserve"> </w:t>
      </w:r>
      <w:r>
        <w:t xml:space="preserve">for color scales in several plotting functions. If you encounter an unexpected</w:t>
      </w:r>
      <w:r>
        <w:t xml:space="preserve"> </w:t>
      </w:r>
      <w:r>
        <w:t xml:space="preserve">“package not found”</w:t>
      </w:r>
      <w:r>
        <w:t xml:space="preserve"> </w:t>
      </w:r>
      <w:r>
        <w:t xml:space="preserve">error during a plotting step, check whether a</w:t>
      </w:r>
      <w:r>
        <w:t xml:space="preserve"> </w:t>
      </w:r>
      <w:r>
        <w:rPr>
          <w:rStyle w:val="VerbatimChar"/>
        </w:rPr>
        <w:t xml:space="preserve">paletteer</w:t>
      </w:r>
      <w:r>
        <w:t xml:space="preserve">-based color scale is the source. The missing package will be named in the error message; install it with</w:t>
      </w:r>
      <w:r>
        <w:t xml:space="preserve"> </w:t>
      </w:r>
      <w:r>
        <w:rPr>
          <w:rStyle w:val="VerbatimChar"/>
        </w:rPr>
        <w:t xml:space="preserve">install.packages()</w:t>
      </w:r>
      <w:r>
        <w:t xml:space="preserve"> </w:t>
      </w:r>
      <w:r>
        <w:t xml:space="preserve">and re-run the function.</w:t>
      </w:r>
    </w:p>
    <w:bookmarkEnd w:id="23"/>
    <w:bookmarkEnd w:id="24"/>
    <w:bookmarkStart w:id="28" w:name="configuring-the-host-environment"/>
    <w:p>
      <w:pPr>
        <w:pStyle w:val="Heading1"/>
      </w:pPr>
      <w:r>
        <w:t xml:space="preserve">Configuring the Host Environment</w:t>
      </w:r>
    </w:p>
    <w:p>
      <w:pPr>
        <w:pStyle w:val="FirstParagraph"/>
      </w:pPr>
      <w:r>
        <w:t xml:space="preserve">The rENM Framework relies on a simple, standardized filesystem structure. At the top level is a project directory containing a</w:t>
      </w:r>
      <w:r>
        <w:t xml:space="preserve"> </w:t>
      </w:r>
      <w:r>
        <w:rPr>
          <w:rStyle w:val="VerbatimChar"/>
        </w:rPr>
        <w:t xml:space="preserve">data</w:t>
      </w:r>
      <w:r>
        <w:t xml:space="preserve"> </w:t>
      </w:r>
      <w:r>
        <w:t xml:space="preserve">subdirectory for input datasets and a</w:t>
      </w:r>
      <w:r>
        <w:t xml:space="preserve"> </w:t>
      </w:r>
      <w:r>
        <w:rPr>
          <w:rStyle w:val="VerbatimChar"/>
        </w:rPr>
        <w:t xml:space="preserve">runs</w:t>
      </w:r>
      <w:r>
        <w:t xml:space="preserve"> </w:t>
      </w:r>
      <w:r>
        <w:t xml:space="preserve">subdirectory where model outputs and analysis results are written. The initial setup creates this structure, installs the example dataset, and creates a symbolic link that points to it from the</w:t>
      </w:r>
      <w:r>
        <w:t xml:space="preserve"> </w:t>
      </w:r>
      <w:r>
        <w:rPr>
          <w:rStyle w:val="VerbatimChar"/>
        </w:rPr>
        <w:t xml:space="preserve">data</w:t>
      </w:r>
      <w:r>
        <w:t xml:space="preserve"> </w:t>
      </w:r>
      <w:r>
        <w:t xml:space="preserve">subdirectory.</w:t>
      </w:r>
    </w:p>
    <w:p>
      <w:pPr>
        <w:pStyle w:val="SourceCode"/>
      </w:pPr>
      <w:r>
        <w:rPr>
          <w:rStyle w:val="VerbatimChar"/>
        </w:rPr>
        <w:t xml:space="preserve">PROJECT_DIRECTORY/</w:t>
      </w:r>
      <w:r>
        <w:br/>
      </w:r>
      <w:r>
        <w:rPr>
          <w:rStyle w:val="VerbatimChar"/>
        </w:rPr>
        <w:t xml:space="preserve">|___ data -&gt; (symbolic link to dataset in use)</w:t>
      </w:r>
      <w:r>
        <w:br/>
      </w:r>
      <w:r>
        <w:rPr>
          <w:rStyle w:val="VerbatimChar"/>
        </w:rPr>
        <w:t xml:space="preserve">|___ rENM-Framework-v0.1.0-example-data/...</w:t>
      </w:r>
      <w:r>
        <w:br/>
      </w:r>
      <w:r>
        <w:rPr>
          <w:rStyle w:val="VerbatimChar"/>
        </w:rPr>
        <w:t xml:space="preserve">|___ rENM-Framework-v0.1.0-extended-data/...</w:t>
      </w:r>
      <w:r>
        <w:br/>
      </w:r>
      <w:r>
        <w:rPr>
          <w:rStyle w:val="VerbatimChar"/>
        </w:rPr>
        <w:t xml:space="preserve">|___ my_input_data/...</w:t>
      </w:r>
      <w:r>
        <w:br/>
      </w:r>
      <w:r>
        <w:rPr>
          <w:rStyle w:val="VerbatimChar"/>
        </w:rPr>
        <w:t xml:space="preserve">|___ runs/...</w:t>
      </w:r>
    </w:p>
    <w:p>
      <w:pPr>
        <w:pStyle w:val="FirstParagraph"/>
      </w:pPr>
      <w:r>
        <w:t xml:space="preserve">You only need to configure your host environment once. The examples below assume a macOS or Linux environment using the Bash shell. If you prefer to run these commands outside of RStudio, equivalent scripts are available at</w:t>
      </w:r>
      <w:r>
        <w:t xml:space="preserve"> </w:t>
      </w:r>
      <w:hyperlink r:id="rId25">
        <w:r>
          <w:rPr>
            <w:rStyle w:val="Hyperlink"/>
          </w:rPr>
          <w:t xml:space="preserve">https://github.com/rENM-Framework/rENM-scripts</w:t>
        </w:r>
      </w:hyperlink>
      <w:r>
        <w:t xml:space="preserve">.</w:t>
      </w:r>
    </w:p>
    <w:bookmarkStart w:id="26" w:name="creating-the-project-directory"/>
    <w:p>
      <w:pPr>
        <w:pStyle w:val="Heading2"/>
      </w:pPr>
      <w:r>
        <w:t xml:space="preserve">Creating the project directory</w:t>
      </w:r>
    </w:p>
    <w:p>
      <w:pPr>
        <w:pStyle w:val="FirstParagraph"/>
      </w:pPr>
      <w:r>
        <w:t xml:space="preserve">Create the project directory and the</w:t>
      </w:r>
      <w:r>
        <w:t xml:space="preserve"> </w:t>
      </w:r>
      <w:r>
        <w:rPr>
          <w:rStyle w:val="VerbatimChar"/>
        </w:rPr>
        <w:t xml:space="preserve">runs</w:t>
      </w:r>
      <w:r>
        <w:t xml:space="preserve"> </w:t>
      </w:r>
      <w:r>
        <w:t xml:space="preserve">subdirectory from a terminal window. The name</w:t>
      </w:r>
      <w:r>
        <w:t xml:space="preserve"> </w:t>
      </w:r>
      <w:r>
        <w:rPr>
          <w:rStyle w:val="VerbatimChar"/>
        </w:rPr>
        <w:t xml:space="preserve">rENMtest</w:t>
      </w:r>
      <w:r>
        <w:t xml:space="preserve"> </w:t>
      </w:r>
      <w:r>
        <w:t xml:space="preserve">is used here for illustration; choose a name that fits your own workflow.</w:t>
      </w:r>
    </w:p>
    <w:p>
      <w:pPr>
        <w:pStyle w:val="SourceCode"/>
      </w:pPr>
      <w:r>
        <w:rPr>
          <w:rStyle w:val="CommentTok"/>
        </w:rPr>
        <w:t xml:space="preserve">#!/usr/bin/env bash</w:t>
      </w:r>
      <w:r>
        <w:br/>
      </w:r>
      <w:r>
        <w:br/>
      </w:r>
      <w:r>
        <w:rPr>
          <w:rStyle w:val="CommentTok"/>
        </w:rPr>
        <w:t xml:space="preserve"># set project directory name</w:t>
      </w:r>
      <w:r>
        <w:br/>
      </w:r>
      <w:r>
        <w:rPr>
          <w:rStyle w:val="VariableTok"/>
        </w:rPr>
        <w:t xml:space="preserve">PROJECT_DIRECTORY</w:t>
      </w:r>
      <w:r>
        <w:rPr>
          <w:rStyle w:val="OperatorTok"/>
        </w:rPr>
        <w:t xml:space="preserve">=</w:t>
      </w:r>
      <w:r>
        <w:rPr>
          <w:rStyle w:val="StringTok"/>
        </w:rPr>
        <w:t xml:space="preserve">"</w:t>
      </w:r>
      <w:r>
        <w:rPr>
          <w:rStyle w:val="VariableTok"/>
        </w:rPr>
        <w:t xml:space="preserve">$HOME</w:t>
      </w:r>
      <w:r>
        <w:rPr>
          <w:rStyle w:val="StringTok"/>
        </w:rPr>
        <w:t xml:space="preserve">/rENMtest"</w:t>
      </w:r>
      <w:r>
        <w:br/>
      </w:r>
      <w:r>
        <w:br/>
      </w:r>
      <w:r>
        <w:rPr>
          <w:rStyle w:val="CommentTok"/>
        </w:rPr>
        <w:t xml:space="preserve"># create initial directory structure</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$PROJECT_DIRECTORY</w:t>
      </w:r>
      <w:r>
        <w:rPr>
          <w:rStyle w:val="StringTok"/>
        </w:rPr>
        <w:t xml:space="preserve">"</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$PROJECT_DIRECTORY</w:t>
      </w:r>
      <w:r>
        <w:rPr>
          <w:rStyle w:val="StringTok"/>
        </w:rPr>
        <w:t xml:space="preserve">/runs"</w:t>
      </w:r>
    </w:p>
    <w:bookmarkEnd w:id="26"/>
    <w:bookmarkStart w:id="27" w:name="installing-the-example-dataset"/>
    <w:p>
      <w:pPr>
        <w:pStyle w:val="Heading2"/>
      </w:pPr>
      <w:r>
        <w:t xml:space="preserve">Installing the example dataset</w:t>
      </w:r>
    </w:p>
    <w:p>
      <w:pPr>
        <w:pStyle w:val="FirstParagraph"/>
      </w:pPr>
      <w:r>
        <w:t xml:space="preserve">The example dataset includes occurrence records for three focal species: Brown-capped Rosy-Finch (</w:t>
      </w:r>
      <w:r>
        <w:rPr>
          <w:i/>
          <w:iCs/>
        </w:rPr>
        <w:t xml:space="preserve">Leucosticte australis</w:t>
      </w:r>
      <w:r>
        <w:t xml:space="preserve">; BCRF), Cassin’s Sparrow (</w:t>
      </w:r>
      <w:r>
        <w:rPr>
          <w:i/>
          <w:iCs/>
        </w:rPr>
        <w:t xml:space="preserve">Peucaea cassinii</w:t>
      </w:r>
      <w:r>
        <w:t xml:space="preserve">; CASP), and Greater Roadrunner (</w:t>
      </w:r>
      <w:r>
        <w:rPr>
          <w:i/>
          <w:iCs/>
        </w:rPr>
        <w:t xml:space="preserve">Geococcyx californianus</w:t>
      </w:r>
      <w:r>
        <w:t xml:space="preserve">; GRRO). Also included are 14 MERRA-2 and MERRAclim-2 environmental variables, shapefiles for state boundaries and species ranges, and a catalog of the dataset’s contents. The dataset is approximately 725 MB.</w:t>
      </w:r>
    </w:p>
    <w:p>
      <w:pPr>
        <w:pStyle w:val="BodyText"/>
      </w:pPr>
      <w:r>
        <w:t xml:space="preserve">The dataset is archived on Zenodo and downloaded automatically by the commands below. Make sure your current working directory is the project directory you created above, then run the following commands from a terminal window to download and install it:</w:t>
      </w:r>
    </w:p>
    <w:p>
      <w:pPr>
        <w:pStyle w:val="SourceCode"/>
      </w:pPr>
      <w:r>
        <w:rPr>
          <w:rStyle w:val="CommentTok"/>
        </w:rPr>
        <w:t xml:space="preserve">#!/usr/bin/env bash</w:t>
      </w:r>
      <w:r>
        <w:br/>
      </w:r>
      <w:r>
        <w:br/>
      </w:r>
      <w:r>
        <w:rPr>
          <w:rStyle w:val="CommentTok"/>
        </w:rPr>
        <w:t xml:space="preserve"># set project directory name (same as above)</w:t>
      </w:r>
      <w:r>
        <w:br/>
      </w:r>
      <w:r>
        <w:rPr>
          <w:rStyle w:val="VariableTok"/>
        </w:rPr>
        <w:t xml:space="preserve">PROJECT_DIRECTORY</w:t>
      </w:r>
      <w:r>
        <w:rPr>
          <w:rStyle w:val="OperatorTok"/>
        </w:rPr>
        <w:t xml:space="preserve">=</w:t>
      </w:r>
      <w:r>
        <w:rPr>
          <w:rStyle w:val="StringTok"/>
        </w:rPr>
        <w:t xml:space="preserve">"</w:t>
      </w:r>
      <w:r>
        <w:rPr>
          <w:rStyle w:val="VariableTok"/>
        </w:rPr>
        <w:t xml:space="preserve">$HOME</w:t>
      </w:r>
      <w:r>
        <w:rPr>
          <w:rStyle w:val="StringTok"/>
        </w:rPr>
        <w:t xml:space="preserve">/rENMtest"</w:t>
      </w:r>
      <w:r>
        <w:br/>
      </w:r>
      <w:r>
        <w:rPr>
          <w:rStyle w:val="BuiltInTok"/>
        </w:rPr>
        <w:t xml:space="preserve">cd</w:t>
      </w:r>
      <w:r>
        <w:rPr>
          <w:rStyle w:val="NormalTok"/>
        </w:rPr>
        <w:t xml:space="preserve"> </w:t>
      </w:r>
      <w:r>
        <w:rPr>
          <w:rStyle w:val="StringTok"/>
        </w:rPr>
        <w:t xml:space="preserve">"</w:t>
      </w:r>
      <w:r>
        <w:rPr>
          <w:rStyle w:val="VariableTok"/>
        </w:rPr>
        <w:t xml:space="preserve">${PROJECT_DIRECTORY}</w:t>
      </w:r>
      <w:r>
        <w:rPr>
          <w:rStyle w:val="StringTok"/>
        </w:rPr>
        <w:t xml:space="preserve">"</w:t>
      </w:r>
      <w:r>
        <w:br/>
      </w:r>
      <w:r>
        <w:br/>
      </w:r>
      <w:r>
        <w:rPr>
          <w:rStyle w:val="CommentTok"/>
        </w:rPr>
        <w:t xml:space="preserve"># download and unzip example dataset</w:t>
      </w:r>
      <w:r>
        <w:br/>
      </w:r>
      <w:r>
        <w:rPr>
          <w:rStyle w:val="VariableTok"/>
        </w:rPr>
        <w:t xml:space="preserve">DATA_URL</w:t>
      </w:r>
      <w:r>
        <w:rPr>
          <w:rStyle w:val="OperatorTok"/>
        </w:rPr>
        <w:t xml:space="preserve">=</w:t>
      </w:r>
      <w:r>
        <w:rPr>
          <w:rStyle w:val="StringTok"/>
        </w:rPr>
        <w:t xml:space="preserve">"https://zenodo.org/records/20750253/files/rENM-Framework-v0.1.0-example-data.zip"</w:t>
      </w:r>
      <w:r>
        <w:br/>
      </w:r>
      <w:r>
        <w:rPr>
          <w:rStyle w:val="VariableTok"/>
        </w:rPr>
        <w:t xml:space="preserve">ZIP_FILE</w:t>
      </w:r>
      <w:r>
        <w:rPr>
          <w:rStyle w:val="OperatorTok"/>
        </w:rPr>
        <w:t xml:space="preserve">=</w:t>
      </w:r>
      <w:r>
        <w:rPr>
          <w:rStyle w:val="StringTok"/>
        </w:rPr>
        <w:t xml:space="preserve">"rENM-Framework-v0.1.0-example-data.zip"</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w:t>
      </w:r>
      <w:r>
        <w:rPr>
          <w:rStyle w:val="StringTok"/>
        </w:rPr>
        <w:t xml:space="preserve">"</w:t>
      </w:r>
      <w:r>
        <w:rPr>
          <w:rStyle w:val="VariableTok"/>
        </w:rPr>
        <w:t xml:space="preserve">${ZIP_FILE}</w:t>
      </w:r>
      <w:r>
        <w:rPr>
          <w:rStyle w:val="StringTok"/>
        </w:rPr>
        <w:t xml:space="preserve">"</w:t>
      </w:r>
      <w:r>
        <w:rPr>
          <w:rStyle w:val="NormalTok"/>
        </w:rPr>
        <w:t xml:space="preserve"> </w:t>
      </w:r>
      <w:r>
        <w:rPr>
          <w:rStyle w:val="StringTok"/>
        </w:rPr>
        <w:t xml:space="preserve">"</w:t>
      </w:r>
      <w:r>
        <w:rPr>
          <w:rStyle w:val="VariableTok"/>
        </w:rPr>
        <w:t xml:space="preserve">${DATA_URL}</w:t>
      </w:r>
      <w:r>
        <w:rPr>
          <w:rStyle w:val="StringTok"/>
        </w:rPr>
        <w:t xml:space="preserve">"</w:t>
      </w:r>
      <w:r>
        <w:br/>
      </w:r>
      <w:r>
        <w:rPr>
          <w:rStyle w:val="FunctionTok"/>
        </w:rPr>
        <w:t xml:space="preserve">unzip</w:t>
      </w:r>
      <w:r>
        <w:rPr>
          <w:rStyle w:val="NormalTok"/>
        </w:rPr>
        <w:t xml:space="preserve"> </w:t>
      </w:r>
      <w:r>
        <w:rPr>
          <w:rStyle w:val="AttributeTok"/>
        </w:rPr>
        <w:t xml:space="preserve">-o</w:t>
      </w:r>
      <w:r>
        <w:rPr>
          <w:rStyle w:val="NormalTok"/>
        </w:rPr>
        <w:t xml:space="preserve"> </w:t>
      </w:r>
      <w:r>
        <w:rPr>
          <w:rStyle w:val="StringTok"/>
        </w:rPr>
        <w:t xml:space="preserve">"</w:t>
      </w:r>
      <w:r>
        <w:rPr>
          <w:rStyle w:val="VariableTok"/>
        </w:rPr>
        <w:t xml:space="preserve">${ZIP_FILE}</w:t>
      </w:r>
      <w:r>
        <w:rPr>
          <w:rStyle w:val="StringTok"/>
        </w:rPr>
        <w:t xml:space="preserve">"</w:t>
      </w:r>
      <w:r>
        <w:br/>
      </w:r>
      <w:r>
        <w:br/>
      </w:r>
      <w:r>
        <w:rPr>
          <w:rStyle w:val="CommentTok"/>
        </w:rPr>
        <w:t xml:space="preserve"># create symbolic link</w:t>
      </w:r>
      <w:r>
        <w:br/>
      </w:r>
      <w:r>
        <w:rPr>
          <w:rStyle w:val="FunctionTok"/>
        </w:rPr>
        <w:t xml:space="preserve">ln</w:t>
      </w:r>
      <w:r>
        <w:rPr>
          <w:rStyle w:val="NormalTok"/>
        </w:rPr>
        <w:t xml:space="preserve"> </w:t>
      </w:r>
      <w:r>
        <w:rPr>
          <w:rStyle w:val="AttributeTok"/>
        </w:rPr>
        <w:t xml:space="preserve">-sfn</w:t>
      </w:r>
      <w:r>
        <w:rPr>
          <w:rStyle w:val="NormalTok"/>
        </w:rPr>
        <w:t xml:space="preserve"> rENM-Framework-v0.1.0-example-data data</w:t>
      </w:r>
      <w:r>
        <w:br/>
      </w:r>
      <w:r>
        <w:br/>
      </w:r>
      <w:r>
        <w:rPr>
          <w:rStyle w:val="CommentTok"/>
        </w:rPr>
        <w:t xml:space="preserve"># clean up</w:t>
      </w:r>
      <w:r>
        <w:br/>
      </w:r>
      <w:r>
        <w:rPr>
          <w:rStyle w:val="FunctionTok"/>
        </w:rPr>
        <w:t xml:space="preserve">rm</w:t>
      </w:r>
      <w:r>
        <w:rPr>
          <w:rStyle w:val="NormalTok"/>
        </w:rPr>
        <w:t xml:space="preserve"> </w:t>
      </w:r>
      <w:r>
        <w:rPr>
          <w:rStyle w:val="AttributeTok"/>
        </w:rPr>
        <w:t xml:space="preserve">-rf</w:t>
      </w:r>
      <w:r>
        <w:rPr>
          <w:rStyle w:val="NormalTok"/>
        </w:rPr>
        <w:t xml:space="preserve"> __MACOSX</w:t>
      </w:r>
      <w:r>
        <w:br/>
      </w:r>
      <w:r>
        <w:rPr>
          <w:rStyle w:val="FunctionTok"/>
        </w:rPr>
        <w:t xml:space="preserve">rm</w:t>
      </w:r>
      <w:r>
        <w:rPr>
          <w:rStyle w:val="NormalTok"/>
        </w:rPr>
        <w:t xml:space="preserve"> </w:t>
      </w:r>
      <w:r>
        <w:rPr>
          <w:rStyle w:val="AttributeTok"/>
        </w:rPr>
        <w:t xml:space="preserve">-f</w:t>
      </w:r>
      <w:r>
        <w:rPr>
          <w:rStyle w:val="NormalTok"/>
        </w:rPr>
        <w:t xml:space="preserve"> </w:t>
      </w:r>
      <w:r>
        <w:rPr>
          <w:rStyle w:val="StringTok"/>
        </w:rPr>
        <w:t xml:space="preserve">"</w:t>
      </w:r>
      <w:r>
        <w:rPr>
          <w:rStyle w:val="VariableTok"/>
        </w:rPr>
        <w:t xml:space="preserve">${ZIP_FILE}</w:t>
      </w:r>
      <w:r>
        <w:rPr>
          <w:rStyle w:val="StringTok"/>
        </w:rPr>
        <w:t xml:space="preserve">"</w:t>
      </w:r>
    </w:p>
    <w:bookmarkEnd w:id="27"/>
    <w:bookmarkEnd w:id="28"/>
    <w:bookmarkStart w:id="32" w:name="configuring-the-rstudio-environment"/>
    <w:p>
      <w:pPr>
        <w:pStyle w:val="Heading1"/>
      </w:pPr>
      <w:r>
        <w:t xml:space="preserve">Configuring the RStudio Environment</w:t>
      </w:r>
    </w:p>
    <w:p>
      <w:pPr>
        <w:pStyle w:val="FirstParagraph"/>
      </w:pPr>
      <w:r>
        <w:t xml:space="preserve">All subsequent work is performed in RStudio using R. Begin by specifying the location of the project directory you created in the previous section. This allows both RStudio and the rENM Framework to locate and manage project files consistently across sessions.</w:t>
      </w:r>
    </w:p>
    <w:bookmarkStart w:id="29" w:name="setting-the-project-directory-location"/>
    <w:p>
      <w:pPr>
        <w:pStyle w:val="Heading2"/>
      </w:pPr>
      <w:r>
        <w:t xml:space="preserve">Setting the project directory location</w:t>
      </w:r>
    </w:p>
    <w:p>
      <w:pPr>
        <w:pStyle w:val="FirstParagraph"/>
      </w:pPr>
      <w:r>
        <w:t xml:space="preserve">The following command writes the project directory path to your</w:t>
      </w:r>
      <w:r>
        <w:t xml:space="preserve"> </w:t>
      </w:r>
      <w:r>
        <w:rPr>
          <w:rStyle w:val="VerbatimChar"/>
        </w:rPr>
        <w:t xml:space="preserve">.Renviron</w:t>
      </w:r>
      <w:r>
        <w:t xml:space="preserve"> </w:t>
      </w:r>
      <w:r>
        <w:t xml:space="preserve">file, making it available in every future R session. Run it once during initial setup, then leave it commented out.</w:t>
      </w:r>
    </w:p>
    <w:p>
      <w:pPr>
        <w:pStyle w:val="SourceCode"/>
      </w:pPr>
      <w:r>
        <w:rPr>
          <w:rStyle w:val="CommentTok"/>
        </w:rPr>
        <w:t xml:space="preserve"># # set the location of the project directory</w:t>
      </w:r>
      <w:r>
        <w:br/>
      </w:r>
      <w:r>
        <w:rPr>
          <w:rStyle w:val="CommentTok"/>
        </w:rPr>
        <w:t xml:space="preserve"># write(</w:t>
      </w:r>
      <w:r>
        <w:br/>
      </w:r>
      <w:r>
        <w:rPr>
          <w:rStyle w:val="CommentTok"/>
        </w:rPr>
        <w:t xml:space="preserve">#   paste0('RENM_PROJECT_DIR="', file.path(Sys.getenv("HOME"), "rENMtest"), '"'),</w:t>
      </w:r>
      <w:r>
        <w:br/>
      </w:r>
      <w:r>
        <w:rPr>
          <w:rStyle w:val="CommentTok"/>
        </w:rPr>
        <w:t xml:space="preserve">#   file = "~/.Renviron",</w:t>
      </w:r>
      <w:r>
        <w:br/>
      </w:r>
      <w:r>
        <w:rPr>
          <w:rStyle w:val="CommentTok"/>
        </w:rPr>
        <w:t xml:space="preserve">#   append = TRUE</w:t>
      </w:r>
      <w:r>
        <w:br/>
      </w:r>
      <w:r>
        <w:rPr>
          <w:rStyle w:val="CommentTok"/>
        </w:rPr>
        <w:t xml:space="preserve"># )</w:t>
      </w:r>
      <w:r>
        <w:br/>
      </w:r>
      <w:r>
        <w:rPr>
          <w:rStyle w:val="CommentTok"/>
        </w:rPr>
        <w:t xml:space="preserve"># # reload (or restart R)</w:t>
      </w:r>
      <w:r>
        <w:br/>
      </w:r>
      <w:r>
        <w:rPr>
          <w:rStyle w:val="CommentTok"/>
        </w:rPr>
        <w:t xml:space="preserve"># readRenviron("~/.Renviron")</w:t>
      </w:r>
      <w:r>
        <w:br/>
      </w:r>
      <w:r>
        <w:rPr>
          <w:rStyle w:val="CommentTok"/>
        </w:rPr>
        <w:t xml:space="preserve"># Sys.getenv("RENM_PROJECT_DIR")</w:t>
      </w:r>
    </w:p>
    <w:p>
      <w:pPr>
        <w:pStyle w:val="FirstParagraph"/>
      </w:pPr>
      <w:r>
        <w:t xml:space="preserve">For single-session use, you can set the project directory with</w:t>
      </w:r>
      <w:r>
        <w:t xml:space="preserve"> </w:t>
      </w:r>
      <w:r>
        <w:rPr>
          <w:rStyle w:val="VerbatimChar"/>
        </w:rPr>
        <w:t xml:space="preserve">options(rENM.project_dir = ...)</w:t>
      </w:r>
      <w:r>
        <w:t xml:space="preserve"> </w:t>
      </w:r>
      <w:r>
        <w:t xml:space="preserve">instead of configuring</w:t>
      </w:r>
      <w:r>
        <w:t xml:space="preserve"> </w:t>
      </w:r>
      <w:r>
        <w:rPr>
          <w:rStyle w:val="VerbatimChar"/>
        </w:rPr>
        <w:t xml:space="preserve">.Renviron</w:t>
      </w:r>
      <w:r>
        <w:t xml:space="preserve">. See</w:t>
      </w:r>
      <w:r>
        <w:t xml:space="preserve"> </w:t>
      </w:r>
      <w:r>
        <w:rPr>
          <w:rStyle w:val="VerbatimChar"/>
        </w:rPr>
        <w:t xml:space="preserve">?rENM_project_dir</w:t>
      </w:r>
      <w:r>
        <w:t xml:space="preserve"> </w:t>
      </w:r>
      <w:r>
        <w:t xml:space="preserve">for details.</w:t>
      </w:r>
    </w:p>
    <w:bookmarkEnd w:id="29"/>
    <w:bookmarkStart w:id="30" w:name="installing-the-framework-packages"/>
    <w:p>
      <w:pPr>
        <w:pStyle w:val="Heading2"/>
      </w:pPr>
      <w:r>
        <w:t xml:space="preserve">Installing the framework packages</w:t>
      </w:r>
    </w:p>
    <w:p>
      <w:pPr>
        <w:pStyle w:val="FirstParagraph"/>
      </w:pPr>
      <w:r>
        <w:t xml:space="preserve">Install the rENM Framework packages from GitHub. The</w:t>
      </w:r>
      <w:r>
        <w:t xml:space="preserve"> </w:t>
      </w:r>
      <w:r>
        <w:rPr>
          <w:rStyle w:val="VerbatimChar"/>
        </w:rPr>
        <w:t xml:space="preserve">remotes</w:t>
      </w:r>
      <w:r>
        <w:t xml:space="preserve"> </w:t>
      </w:r>
      <w:r>
        <w:t xml:space="preserve">package handles installation from remote repositories and is all that is needed for this step. Install the packages in the order shown, with the top-level</w:t>
      </w:r>
      <w:r>
        <w:t xml:space="preserve"> </w:t>
      </w:r>
      <w:r>
        <w:rPr>
          <w:rStyle w:val="VerbatimChar"/>
        </w:rPr>
        <w:t xml:space="preserve">rENM</w:t>
      </w:r>
      <w:r>
        <w:t xml:space="preserve"> </w:t>
      </w:r>
      <w:r>
        <w:t xml:space="preserve">orchestration package last.</w:t>
      </w:r>
    </w:p>
    <w:p>
      <w:pPr>
        <w:pStyle w:val="SourceCode"/>
      </w:pPr>
      <w:r>
        <w:rPr>
          <w:rStyle w:val="CommentTok"/>
        </w:rPr>
        <w:t xml:space="preserve"># # install rENM Framework packages from the GitHub repository</w:t>
      </w:r>
      <w:r>
        <w:br/>
      </w:r>
      <w:r>
        <w:rPr>
          <w:rStyle w:val="CommentTok"/>
        </w:rPr>
        <w:t xml:space="preserve"># install.packages("remotes")</w:t>
      </w:r>
      <w:r>
        <w:br/>
      </w:r>
      <w:r>
        <w:rPr>
          <w:rStyle w:val="CommentTok"/>
        </w:rPr>
        <w:t xml:space="preserve"># remotes::install_github("rENM-Framework/rENM.core")</w:t>
      </w:r>
      <w:r>
        <w:br/>
      </w:r>
      <w:r>
        <w:rPr>
          <w:rStyle w:val="CommentTok"/>
        </w:rPr>
        <w:t xml:space="preserve"># remotes::install_github("rENM-Framework/rENM.data")</w:t>
      </w:r>
      <w:r>
        <w:br/>
      </w:r>
      <w:r>
        <w:rPr>
          <w:rStyle w:val="CommentTok"/>
        </w:rPr>
        <w:t xml:space="preserve"># remotes::install_github("rENM-Framework/rENM.model")</w:t>
      </w:r>
      <w:r>
        <w:br/>
      </w:r>
      <w:r>
        <w:rPr>
          <w:rStyle w:val="CommentTok"/>
        </w:rPr>
        <w:t xml:space="preserve"># remotes::install_github("rENM-Framework/rENM.analysis")</w:t>
      </w:r>
      <w:r>
        <w:br/>
      </w:r>
      <w:r>
        <w:rPr>
          <w:rStyle w:val="CommentTok"/>
        </w:rPr>
        <w:t xml:space="preserve"># remotes::install_github("rENM-Framework/rENM.ai")</w:t>
      </w:r>
      <w:r>
        <w:br/>
      </w:r>
      <w:r>
        <w:rPr>
          <w:rStyle w:val="CommentTok"/>
        </w:rPr>
        <w:t xml:space="preserve"># remotes::install_github("rENM-Framework/rENM.reports")</w:t>
      </w:r>
      <w:r>
        <w:br/>
      </w:r>
      <w:r>
        <w:rPr>
          <w:rStyle w:val="CommentTok"/>
        </w:rPr>
        <w:t xml:space="preserve"># remotes::install_github("rENM-Framework/rENM")  # install last</w:t>
      </w:r>
    </w:p>
    <w:p>
      <w:pPr>
        <w:pStyle w:val="FirstParagraph"/>
      </w:pPr>
      <w:r>
        <w:t xml:space="preserve">This step only needs to be completed once.</w:t>
      </w:r>
    </w:p>
    <w:bookmarkEnd w:id="30"/>
    <w:bookmarkStart w:id="31" w:name="loading-the-renm-framework-modules"/>
    <w:p>
      <w:pPr>
        <w:pStyle w:val="Heading2"/>
      </w:pPr>
      <w:r>
        <w:t xml:space="preserve">Loading the rENM Framework modules</w:t>
      </w:r>
    </w:p>
    <w:p>
      <w:pPr>
        <w:pStyle w:val="FirstParagraph"/>
      </w:pPr>
      <w:r>
        <w:t xml:space="preserve">Now, load the installed rENM Framework packages.</w:t>
      </w:r>
    </w:p>
    <w:p>
      <w:pPr>
        <w:pStyle w:val="SourceCode"/>
      </w:pPr>
      <w:r>
        <w:rPr>
          <w:rStyle w:val="CommentTok"/>
        </w:rPr>
        <w:t xml:space="preserve"># load the installed rENM Framework packages</w:t>
      </w:r>
      <w:r>
        <w:br/>
      </w:r>
      <w:r>
        <w:rPr>
          <w:rStyle w:val="FunctionTok"/>
        </w:rPr>
        <w:t xml:space="preserve">library</w:t>
      </w:r>
      <w:r>
        <w:rPr>
          <w:rStyle w:val="NormalTok"/>
        </w:rPr>
        <w:t xml:space="preserve">(rENM)</w:t>
      </w:r>
      <w:r>
        <w:br/>
      </w:r>
      <w:r>
        <w:rPr>
          <w:rStyle w:val="FunctionTok"/>
        </w:rPr>
        <w:t xml:space="preserve">library</w:t>
      </w:r>
      <w:r>
        <w:rPr>
          <w:rStyle w:val="NormalTok"/>
        </w:rPr>
        <w:t xml:space="preserve">(rENM.core)</w:t>
      </w:r>
      <w:r>
        <w:br/>
      </w:r>
      <w:r>
        <w:rPr>
          <w:rStyle w:val="FunctionTok"/>
        </w:rPr>
        <w:t xml:space="preserve">library</w:t>
      </w:r>
      <w:r>
        <w:rPr>
          <w:rStyle w:val="NormalTok"/>
        </w:rPr>
        <w:t xml:space="preserve">(rENM.data)</w:t>
      </w:r>
      <w:r>
        <w:br/>
      </w:r>
      <w:r>
        <w:rPr>
          <w:rStyle w:val="FunctionTok"/>
        </w:rPr>
        <w:t xml:space="preserve">library</w:t>
      </w:r>
      <w:r>
        <w:rPr>
          <w:rStyle w:val="NormalTok"/>
        </w:rPr>
        <w:t xml:space="preserve">(rENM.model)</w:t>
      </w:r>
      <w:r>
        <w:br/>
      </w:r>
      <w:r>
        <w:rPr>
          <w:rStyle w:val="FunctionTok"/>
        </w:rPr>
        <w:t xml:space="preserve">library</w:t>
      </w:r>
      <w:r>
        <w:rPr>
          <w:rStyle w:val="NormalTok"/>
        </w:rPr>
        <w:t xml:space="preserve">(rENM.analysis)</w:t>
      </w:r>
      <w:r>
        <w:br/>
      </w:r>
      <w:r>
        <w:rPr>
          <w:rStyle w:val="FunctionTok"/>
        </w:rPr>
        <w:t xml:space="preserve">library</w:t>
      </w:r>
      <w:r>
        <w:rPr>
          <w:rStyle w:val="NormalTok"/>
        </w:rPr>
        <w:t xml:space="preserve">(rENM.reports)</w:t>
      </w:r>
      <w:r>
        <w:br/>
      </w:r>
      <w:r>
        <w:rPr>
          <w:rStyle w:val="FunctionTok"/>
        </w:rPr>
        <w:t xml:space="preserve">library</w:t>
      </w:r>
      <w:r>
        <w:rPr>
          <w:rStyle w:val="NormalTok"/>
        </w:rPr>
        <w:t xml:space="preserve">(rENM.ai)</w:t>
      </w:r>
    </w:p>
    <w:bookmarkEnd w:id="31"/>
    <w:bookmarkEnd w:id="32"/>
    <w:bookmarkStart w:id="35" w:name="performing-an-renm-analysis"/>
    <w:p>
      <w:pPr>
        <w:pStyle w:val="Heading1"/>
      </w:pPr>
      <w:r>
        <w:t xml:space="preserve">Performing an rENM Analysis</w:t>
      </w:r>
    </w:p>
    <w:p>
      <w:pPr>
        <w:pStyle w:val="FirstParagraph"/>
      </w:pPr>
      <w:r>
        <w:t xml:space="preserve">Species within the rENM Framework are identified using a four-character alpha code, following the same conventions used by the North American Bird Banding Program. The example dataset includes three species that cover a range of modeling conditions. The Brown-capped Rosy-Finch (</w:t>
      </w:r>
      <w:r>
        <w:rPr>
          <w:i/>
          <w:iCs/>
        </w:rPr>
        <w:t xml:space="preserve">Leucosticte australis</w:t>
      </w:r>
      <w:r>
        <w:t xml:space="preserve">; BCRF) occupies a small, high-elevation range in the southern Rockies and has sparse occurrence records, making it a useful test case for low-density modeling scenarios. Cassin’s Sparrow (</w:t>
      </w:r>
      <w:r>
        <w:rPr>
          <w:i/>
          <w:iCs/>
        </w:rPr>
        <w:t xml:space="preserve">Peucaea cassinii</w:t>
      </w:r>
      <w:r>
        <w:t xml:space="preserve">; CASP) is the focal species of the Schnase et al. study series and provides a well-characterized example with an extensive retrospective literature to draw on. The Greater Roadrunner (</w:t>
      </w:r>
      <w:r>
        <w:rPr>
          <w:i/>
          <w:iCs/>
        </w:rPr>
        <w:t xml:space="preserve">Geococcyx californianus</w:t>
      </w:r>
      <w:r>
        <w:t xml:space="preserve">; GRRO) has a broad distribution across the southwestern United States and presents a high-density occurrence record scenario. Together these three species let you explore how the rENM Framework behaves across meaningfully different ecological and data contexts.</w:t>
      </w:r>
    </w:p>
    <w:bookmarkStart w:id="33" w:name="viewing-installed-species-data"/>
    <w:p>
      <w:pPr>
        <w:pStyle w:val="Heading2"/>
      </w:pPr>
      <w:r>
        <w:t xml:space="preserve">Viewing installed species data</w:t>
      </w:r>
    </w:p>
    <w:p>
      <w:pPr>
        <w:pStyle w:val="FirstParagraph"/>
      </w:pPr>
      <w:r>
        <w:t xml:space="preserve">Use the</w:t>
      </w:r>
      <w:r>
        <w:t xml:space="preserve"> </w:t>
      </w:r>
      <w:r>
        <w:rPr>
          <w:rStyle w:val="VerbatimChar"/>
        </w:rPr>
        <w:t xml:space="preserve">show_species()</w:t>
      </w:r>
      <w:r>
        <w:t xml:space="preserve"> </w:t>
      </w:r>
      <w:r>
        <w:t xml:space="preserve">helper function to display the full list of species available in your project’s data collection, including each species’ common name, scientific name, and four-letter alpha code. Run it before setting the banding code to confirm that your target species is provisioned and to verify the correct alpha code.</w:t>
      </w:r>
    </w:p>
    <w:p>
      <w:pPr>
        <w:pStyle w:val="SourceCode"/>
      </w:pPr>
      <w:r>
        <w:rPr>
          <w:rStyle w:val="CommentTok"/>
        </w:rPr>
        <w:t xml:space="preserve"># show available species</w:t>
      </w:r>
      <w:r>
        <w:br/>
      </w:r>
      <w:r>
        <w:rPr>
          <w:rStyle w:val="NormalTok"/>
        </w:rPr>
        <w:t xml:space="preserve">rENM.core</w:t>
      </w:r>
      <w:r>
        <w:rPr>
          <w:rStyle w:val="SpecialCharTok"/>
        </w:rPr>
        <w:t xml:space="preserve">::</w:t>
      </w:r>
      <w:r>
        <w:rPr>
          <w:rStyle w:val="FunctionTok"/>
        </w:rPr>
        <w:t xml:space="preserve">show_species</w:t>
      </w:r>
      <w:r>
        <w:rPr>
          <w:rStyle w:val="NormalTok"/>
        </w:rPr>
        <w:t xml:space="preserve">()</w:t>
      </w:r>
    </w:p>
    <w:bookmarkEnd w:id="33"/>
    <w:bookmarkStart w:id="34" w:name="bandingcode"/>
    <w:p>
      <w:pPr>
        <w:pStyle w:val="Heading2"/>
      </w:pPr>
      <w:r>
        <w:t xml:space="preserve">Setting the species banding code</w:t>
      </w:r>
    </w:p>
    <w:p>
      <w:pPr>
        <w:pStyle w:val="FirstParagraph"/>
      </w:pPr>
      <w:r>
        <w:t xml:space="preserve">Set the alpha code for the species you want to analyze. The code block below shows all three example species; the others are commented out. CASP is set as the default here because it is the focal species of the Schnase et al. study series and has the most thoroughly characterized outputs to compare against, making it a good first run for users who are new to the framework.</w:t>
      </w:r>
    </w:p>
    <w:p>
      <w:pPr>
        <w:pStyle w:val="SourceCode"/>
      </w:pPr>
      <w:r>
        <w:rPr>
          <w:rStyle w:val="CommentTok"/>
        </w:rPr>
        <w:t xml:space="preserve"># set four-letter banding code of a bird species</w:t>
      </w:r>
      <w:r>
        <w:br/>
      </w:r>
      <w:r>
        <w:rPr>
          <w:rStyle w:val="CommentTok"/>
        </w:rPr>
        <w:t xml:space="preserve"># alpha_code &lt;- "BCRF"</w:t>
      </w:r>
      <w:r>
        <w:br/>
      </w:r>
      <w:r>
        <w:rPr>
          <w:rStyle w:val="NormalTok"/>
        </w:rPr>
        <w:t xml:space="preserve">alpha_code </w:t>
      </w:r>
      <w:r>
        <w:rPr>
          <w:rStyle w:val="OtherTok"/>
        </w:rPr>
        <w:t xml:space="preserve">&lt;-</w:t>
      </w:r>
      <w:r>
        <w:rPr>
          <w:rStyle w:val="NormalTok"/>
        </w:rPr>
        <w:t xml:space="preserve"> </w:t>
      </w:r>
      <w:r>
        <w:rPr>
          <w:rStyle w:val="StringTok"/>
        </w:rPr>
        <w:t xml:space="preserve">"CASP"</w:t>
      </w:r>
      <w:r>
        <w:br/>
      </w:r>
      <w:r>
        <w:rPr>
          <w:rStyle w:val="CommentTok"/>
        </w:rPr>
        <w:t xml:space="preserve"># alpha_code &lt;- "GRRO"</w:t>
      </w:r>
    </w:p>
    <w:p>
      <w:pPr>
        <w:pStyle w:val="FirstParagraph"/>
      </w:pPr>
      <w:r>
        <w:t xml:space="preserve">Once</w:t>
      </w:r>
      <w:r>
        <w:t xml:space="preserve"> </w:t>
      </w:r>
      <w:r>
        <w:rPr>
          <w:rStyle w:val="VerbatimChar"/>
        </w:rPr>
        <w:t xml:space="preserve">alpha_code</w:t>
      </w:r>
      <w:r>
        <w:t xml:space="preserve"> </w:t>
      </w:r>
      <w:r>
        <w:t xml:space="preserve">is set, it is passed automatically to all subsequent functions in the workflow.</w:t>
      </w:r>
    </w:p>
    <w:bookmarkEnd w:id="34"/>
    <w:bookmarkEnd w:id="35"/>
    <w:bookmarkStart w:id="45" w:name="data-assembly"/>
    <w:p>
      <w:pPr>
        <w:pStyle w:val="Heading1"/>
      </w:pPr>
      <w:r>
        <w:t xml:space="preserve">Data Assembly</w:t>
      </w:r>
    </w:p>
    <w:p>
      <w:pPr>
        <w:pStyle w:val="FirstParagraph"/>
      </w:pPr>
      <w:r>
        <w:t xml:space="preserve">Data assembly prepares the two classes of inputs required by the rENM modeling workflow: species occurrence records and environmental predictor variables. By the end of this section, you will have a cleaned, spatially thinned set of occurrence records organized into nine five-year temporal bins, and a set of MERRA-2 and MERRAclim-2 predictor rasters cropped to the spatial extent of your analysis. These inputs are consumed by the time series construction steps in the following section.</w:t>
      </w:r>
    </w:p>
    <w:bookmarkStart w:id="41" w:name="occurrence-data"/>
    <w:p>
      <w:pPr>
        <w:pStyle w:val="Heading2"/>
      </w:pPr>
      <w:r>
        <w:t xml:space="preserve">Occurrence data</w:t>
      </w:r>
    </w:p>
    <w:bookmarkStart w:id="36" w:name="gathering-ebird-records"/>
    <w:p>
      <w:pPr>
        <w:pStyle w:val="Heading3"/>
      </w:pPr>
      <w:r>
        <w:t xml:space="preserve">- Gathering eBird records</w:t>
      </w:r>
    </w:p>
    <w:p>
      <w:pPr>
        <w:pStyle w:val="FirstParagraph"/>
      </w:pPr>
      <w:r>
        <w:t xml:space="preserve">This step reads the eBird Basic Dataset (EBD) file for your target species from the base data directory, filters records with valid geographic coordinates, and partitions the occurrence data into nine five-year temporal bins spanning 1980–2024. Each bin is saved as a separate CSV file under</w:t>
      </w:r>
      <w:r>
        <w:t xml:space="preserve"> </w:t>
      </w:r>
      <w:r>
        <w:rPr>
          <w:rStyle w:val="VerbatimChar"/>
        </w:rPr>
        <w:t xml:space="preserve">&lt;alpha_code&gt;/_occs/tmp/</w:t>
      </w:r>
      <w:r>
        <w:t xml:space="preserve">.</w:t>
      </w:r>
    </w:p>
    <w:p>
      <w:pPr>
        <w:pStyle w:val="SourceCode"/>
      </w:pPr>
      <w:r>
        <w:rPr>
          <w:rStyle w:val="CommentTok"/>
        </w:rPr>
        <w:t xml:space="preserve"># extract ebird occurrence records from the base collection</w:t>
      </w:r>
      <w:r>
        <w:br/>
      </w:r>
      <w:r>
        <w:rPr>
          <w:rStyle w:val="NormalTok"/>
        </w:rPr>
        <w:t xml:space="preserve">rENM.data</w:t>
      </w:r>
      <w:r>
        <w:rPr>
          <w:rStyle w:val="SpecialCharTok"/>
        </w:rPr>
        <w:t xml:space="preserve">::</w:t>
      </w:r>
      <w:r>
        <w:rPr>
          <w:rStyle w:val="FunctionTok"/>
        </w:rPr>
        <w:t xml:space="preserve">get_ebird_occurrences</w:t>
      </w:r>
      <w:r>
        <w:rPr>
          <w:rStyle w:val="NormalTok"/>
        </w:rPr>
        <w:t xml:space="preserve">(alpha_code)</w:t>
      </w:r>
    </w:p>
    <w:bookmarkEnd w:id="36"/>
    <w:bookmarkStart w:id="37" w:name="removing-duplicate-records"/>
    <w:p>
      <w:pPr>
        <w:pStyle w:val="Heading3"/>
      </w:pPr>
      <w:r>
        <w:t xml:space="preserve">- Removing duplicate records</w:t>
      </w:r>
    </w:p>
    <w:p>
      <w:pPr>
        <w:pStyle w:val="FirstParagraph"/>
      </w:pPr>
      <w:r>
        <w:t xml:space="preserve">This step removes exact-coordinate duplicate records from the occurrence files in</w:t>
      </w:r>
      <w:r>
        <w:t xml:space="preserve"> </w:t>
      </w:r>
      <w:r>
        <w:rPr>
          <w:rStyle w:val="VerbatimChar"/>
        </w:rPr>
        <w:t xml:space="preserve">&lt;alpha_code&gt;/_occs/tmp/</w:t>
      </w:r>
      <w:r>
        <w:t xml:space="preserve">.</w:t>
      </w:r>
    </w:p>
    <w:p>
      <w:pPr>
        <w:pStyle w:val="SourceCode"/>
      </w:pPr>
      <w:r>
        <w:rPr>
          <w:rStyle w:val="CommentTok"/>
        </w:rPr>
        <w:t xml:space="preserve"># remove duplicate occurrence records</w:t>
      </w:r>
      <w:r>
        <w:br/>
      </w:r>
      <w:r>
        <w:rPr>
          <w:rStyle w:val="NormalTok"/>
        </w:rPr>
        <w:t xml:space="preserve">rENM.data</w:t>
      </w:r>
      <w:r>
        <w:rPr>
          <w:rStyle w:val="SpecialCharTok"/>
        </w:rPr>
        <w:t xml:space="preserve">::</w:t>
      </w:r>
      <w:r>
        <w:rPr>
          <w:rStyle w:val="FunctionTok"/>
        </w:rPr>
        <w:t xml:space="preserve">remove_duplicate_occurrences</w:t>
      </w:r>
      <w:r>
        <w:rPr>
          <w:rStyle w:val="NormalTok"/>
        </w:rPr>
        <w:t xml:space="preserve">(alpha_code)</w:t>
      </w:r>
    </w:p>
    <w:bookmarkEnd w:id="37"/>
    <w:bookmarkStart w:id="38" w:name="spatial-thinning"/>
    <w:p>
      <w:pPr>
        <w:pStyle w:val="Heading3"/>
      </w:pPr>
      <w:r>
        <w:t xml:space="preserve">- Spatial thinning</w:t>
      </w:r>
    </w:p>
    <w:p>
      <w:pPr>
        <w:pStyle w:val="FirstParagraph"/>
      </w:pPr>
      <w:r>
        <w:t xml:space="preserve">You may optionally apply spatial thinning to the occurrence records. Thinning reduces spatial clustering by enforcing a minimum distance between points, helping to mitigate sampling bias. For example, analyses of Cassin’s Sparrow typically use a thinning distance of 8 km (~5 miles) to reduce the likelihood of counting the same individual multiple times. This step can be skipped entirely or configured by setting the</w:t>
      </w:r>
      <w:r>
        <w:t xml:space="preserve"> </w:t>
      </w:r>
      <w:r>
        <w:rPr>
          <w:rStyle w:val="VerbatimChar"/>
        </w:rPr>
        <w:t xml:space="preserve">thin_distance</w:t>
      </w:r>
      <w:r>
        <w:t xml:space="preserve"> </w:t>
      </w:r>
      <w:r>
        <w:t xml:space="preserve">parameter, as shown below.</w:t>
      </w:r>
    </w:p>
    <w:p>
      <w:pPr>
        <w:pStyle w:val="BodyText"/>
      </w:pPr>
      <w:r>
        <w:t xml:space="preserve">Thinning can be time-consuming. By default, temporal bins are processed sequentially using</w:t>
      </w:r>
      <w:r>
        <w:t xml:space="preserve"> </w:t>
      </w:r>
      <w:r>
        <w:rPr>
          <w:rStyle w:val="VerbatimChar"/>
        </w:rPr>
        <w:t xml:space="preserve">thin_occurrences()</w:t>
      </w:r>
      <w:r>
        <w:t xml:space="preserve">, as shown in the code block below. A</w:t>
      </w:r>
      <w:r>
        <w:t xml:space="preserve"> </w:t>
      </w:r>
      <w:r>
        <w:rPr>
          <w:rStyle w:val="VerbatimChar"/>
        </w:rPr>
        <w:t xml:space="preserve">thin_occurrences2()</w:t>
      </w:r>
      <w:r>
        <w:t xml:space="preserve"> </w:t>
      </w:r>
      <w:r>
        <w:t xml:space="preserve">parallel processing option is also available and can reduce runtime; however, if system resources are limited or uncertain, the default sequential approach is recommended. Comment out the option you do not use.</w:t>
      </w:r>
    </w:p>
    <w:p>
      <w:pPr>
        <w:pStyle w:val="SourceCode"/>
      </w:pPr>
      <w:r>
        <w:rPr>
          <w:rStyle w:val="CommentTok"/>
        </w:rPr>
        <w:t xml:space="preserve"># set thinning distance (radius in km)</w:t>
      </w:r>
      <w:r>
        <w:br/>
      </w:r>
      <w:r>
        <w:rPr>
          <w:rStyle w:val="NormalTok"/>
        </w:rPr>
        <w:t xml:space="preserve">thin_distance </w:t>
      </w:r>
      <w:r>
        <w:rPr>
          <w:rStyle w:val="OtherTok"/>
        </w:rPr>
        <w:t xml:space="preserve">&lt;-</w:t>
      </w:r>
      <w:r>
        <w:rPr>
          <w:rStyle w:val="NormalTok"/>
        </w:rPr>
        <w:t xml:space="preserve"> </w:t>
      </w:r>
      <w:r>
        <w:rPr>
          <w:rStyle w:val="DecValTok"/>
        </w:rPr>
        <w:t xml:space="preserve">1</w:t>
      </w:r>
      <w:r>
        <w:rPr>
          <w:rStyle w:val="NormalTok"/>
        </w:rPr>
        <w:t xml:space="preserve"> </w:t>
      </w:r>
      <w:r>
        <w:rPr>
          <w:rStyle w:val="CommentTok"/>
        </w:rPr>
        <w:t xml:space="preserve"># default value</w:t>
      </w:r>
      <w:r>
        <w:br/>
      </w:r>
      <w:r>
        <w:br/>
      </w:r>
      <w:r>
        <w:rPr>
          <w:rStyle w:val="CommentTok"/>
        </w:rPr>
        <w:t xml:space="preserve"># thin records in the _occs/tmp/ run collection [sequential version]</w:t>
      </w:r>
      <w:r>
        <w:br/>
      </w:r>
      <w:r>
        <w:rPr>
          <w:rStyle w:val="CommentTok"/>
        </w:rPr>
        <w:t xml:space="preserve"># thin_occurrences(alpha_code, thin_distance)</w:t>
      </w:r>
      <w:r>
        <w:br/>
      </w:r>
      <w:r>
        <w:br/>
      </w:r>
      <w:r>
        <w:rPr>
          <w:rStyle w:val="CommentTok"/>
        </w:rPr>
        <w:t xml:space="preserve"># thin records in the _occs/tmp/ run collection [parallel version]</w:t>
      </w:r>
      <w:r>
        <w:br/>
      </w:r>
      <w:r>
        <w:rPr>
          <w:rStyle w:val="NormalTok"/>
        </w:rPr>
        <w:t xml:space="preserve">rENM.data</w:t>
      </w:r>
      <w:r>
        <w:rPr>
          <w:rStyle w:val="SpecialCharTok"/>
        </w:rPr>
        <w:t xml:space="preserve">::</w:t>
      </w:r>
      <w:r>
        <w:rPr>
          <w:rStyle w:val="FunctionTok"/>
        </w:rPr>
        <w:t xml:space="preserve">thin_occurrences2</w:t>
      </w:r>
      <w:r>
        <w:rPr>
          <w:rStyle w:val="NormalTok"/>
        </w:rPr>
        <w:t xml:space="preserve">(alpha_code, thin_distance)</w:t>
      </w:r>
    </w:p>
    <w:bookmarkEnd w:id="38"/>
    <w:bookmarkStart w:id="39" w:name="limiting-the-record-count"/>
    <w:p>
      <w:pPr>
        <w:pStyle w:val="Heading3"/>
      </w:pPr>
      <w:r>
        <w:t xml:space="preserve">- Limiting the record count</w:t>
      </w:r>
    </w:p>
    <w:p>
      <w:pPr>
        <w:pStyle w:val="FirstParagraph"/>
      </w:pPr>
      <w:r>
        <w:t xml:space="preserve">This optional step sets an upper limit on the number of occurrence records retained within each temporal bin. It can be useful when record densities are very high and may affect model performance. The example dataset uses a cap of 250 records per bin.</w:t>
      </w:r>
    </w:p>
    <w:p>
      <w:pPr>
        <w:pStyle w:val="SourceCode"/>
      </w:pPr>
      <w:r>
        <w:rPr>
          <w:rStyle w:val="CommentTok"/>
        </w:rPr>
        <w:t xml:space="preserve"># set upper bound on the number of occurrence records</w:t>
      </w:r>
      <w:r>
        <w:br/>
      </w:r>
      <w:r>
        <w:rPr>
          <w:rStyle w:val="NormalTok"/>
        </w:rPr>
        <w:t xml:space="preserve">record_count </w:t>
      </w:r>
      <w:r>
        <w:rPr>
          <w:rStyle w:val="OtherTok"/>
        </w:rPr>
        <w:t xml:space="preserve">&lt;-</w:t>
      </w:r>
      <w:r>
        <w:rPr>
          <w:rStyle w:val="NormalTok"/>
        </w:rPr>
        <w:t xml:space="preserve"> </w:t>
      </w:r>
      <w:r>
        <w:rPr>
          <w:rStyle w:val="DecValTok"/>
        </w:rPr>
        <w:t xml:space="preserve">250</w:t>
      </w:r>
      <w:r>
        <w:br/>
      </w:r>
      <w:r>
        <w:br/>
      </w:r>
      <w:r>
        <w:rPr>
          <w:rStyle w:val="CommentTok"/>
        </w:rPr>
        <w:t xml:space="preserve"># thin records to upper bound</w:t>
      </w:r>
      <w:r>
        <w:br/>
      </w:r>
      <w:r>
        <w:rPr>
          <w:rStyle w:val="NormalTok"/>
        </w:rPr>
        <w:t xml:space="preserve">rENM.data</w:t>
      </w:r>
      <w:r>
        <w:rPr>
          <w:rStyle w:val="SpecialCharTok"/>
        </w:rPr>
        <w:t xml:space="preserve">::</w:t>
      </w:r>
      <w:r>
        <w:rPr>
          <w:rStyle w:val="FunctionTok"/>
        </w:rPr>
        <w:t xml:space="preserve">limit_record_count</w:t>
      </w:r>
      <w:r>
        <w:rPr>
          <w:rStyle w:val="NormalTok"/>
        </w:rPr>
        <w:t xml:space="preserve">(alpha_code, record_count)</w:t>
      </w:r>
    </w:p>
    <w:bookmarkEnd w:id="39"/>
    <w:bookmarkStart w:id="40" w:name="wrapping-up-occurrence-data-prep"/>
    <w:p>
      <w:pPr>
        <w:pStyle w:val="Heading3"/>
      </w:pPr>
      <w:r>
        <w:t xml:space="preserve">- Wrapping up occurrence data prep</w:t>
      </w:r>
    </w:p>
    <w:p>
      <w:pPr>
        <w:pStyle w:val="FirstParagraph"/>
      </w:pPr>
      <w:r>
        <w:t xml:space="preserve">This step moves the prepared occurrence files from the temporary</w:t>
      </w:r>
      <w:r>
        <w:t xml:space="preserve"> </w:t>
      </w:r>
      <w:r>
        <w:rPr>
          <w:rStyle w:val="VerbatimChar"/>
        </w:rPr>
        <w:t xml:space="preserve">&lt;alpha_code&gt;/_occs/tmp/</w:t>
      </w:r>
      <w:r>
        <w:t xml:space="preserve"> </w:t>
      </w:r>
      <w:r>
        <w:t xml:space="preserve">directory into the main</w:t>
      </w:r>
      <w:r>
        <w:t xml:space="preserve"> </w:t>
      </w:r>
      <w:r>
        <w:rPr>
          <w:rStyle w:val="VerbatimChar"/>
        </w:rPr>
        <w:t xml:space="preserve">&lt;alpha_code&gt;/_occs/</w:t>
      </w:r>
      <w:r>
        <w:t xml:space="preserve"> </w:t>
      </w:r>
      <w:r>
        <w:t xml:space="preserve">directory and removes the staging directory. It is the final step before preparing environmental data.</w:t>
      </w:r>
    </w:p>
    <w:p>
      <w:pPr>
        <w:pStyle w:val="SourceCode"/>
      </w:pPr>
      <w:r>
        <w:rPr>
          <w:rStyle w:val="CommentTok"/>
        </w:rPr>
        <w:t xml:space="preserve"># move filtered records to the &lt;alpha_code&gt;/_occs/ run collection and tidy up</w:t>
      </w:r>
      <w:r>
        <w:br/>
      </w:r>
      <w:r>
        <w:rPr>
          <w:rStyle w:val="NormalTok"/>
        </w:rPr>
        <w:t xml:space="preserve">rENM.data</w:t>
      </w:r>
      <w:r>
        <w:rPr>
          <w:rStyle w:val="SpecialCharTok"/>
        </w:rPr>
        <w:t xml:space="preserve">::</w:t>
      </w:r>
      <w:r>
        <w:rPr>
          <w:rStyle w:val="FunctionTok"/>
        </w:rPr>
        <w:t xml:space="preserve">tidy_occurrences</w:t>
      </w:r>
      <w:r>
        <w:rPr>
          <w:rStyle w:val="NormalTok"/>
        </w:rPr>
        <w:t xml:space="preserve">(alpha_code)</w:t>
      </w:r>
    </w:p>
    <w:bookmarkEnd w:id="40"/>
    <w:bookmarkEnd w:id="41"/>
    <w:bookmarkStart w:id="44" w:name="environmental-data"/>
    <w:p>
      <w:pPr>
        <w:pStyle w:val="Heading2"/>
      </w:pPr>
      <w:r>
        <w:t xml:space="preserve">Environmental data</w:t>
      </w:r>
    </w:p>
    <w:bookmarkStart w:id="42" w:name="setting-the-spatial-extent"/>
    <w:p>
      <w:pPr>
        <w:pStyle w:val="Heading3"/>
      </w:pPr>
      <w:r>
        <w:t xml:space="preserve">- Setting the spatial extent</w:t>
      </w:r>
    </w:p>
    <w:p>
      <w:pPr>
        <w:pStyle w:val="FirstParagraph"/>
      </w:pPr>
      <w:r>
        <w:t xml:space="preserve">The first step in preparing environmental data is setting the spatial extent of the analysis. Three options are available for defining these geographic boundaries:</w:t>
      </w:r>
    </w:p>
    <w:p>
      <w:pPr>
        <w:numPr>
          <w:ilvl w:val="0"/>
          <w:numId w:val="1003"/>
        </w:numPr>
      </w:pPr>
      <w:r>
        <w:rPr>
          <w:rStyle w:val="VerbatimChar"/>
        </w:rPr>
        <w:t xml:space="preserve">find_range_extent()</w:t>
      </w:r>
      <w:r>
        <w:t xml:space="preserve"> </w:t>
      </w:r>
      <w:r>
        <w:t xml:space="preserve">derives the extent from the species’ USGS GAP range polygon and is the recommended option for most analyses,</w:t>
      </w:r>
    </w:p>
    <w:p>
      <w:pPr>
        <w:numPr>
          <w:ilvl w:val="0"/>
          <w:numId w:val="1003"/>
        </w:numPr>
      </w:pPr>
      <w:r>
        <w:rPr>
          <w:rStyle w:val="VerbatimChar"/>
        </w:rPr>
        <w:t xml:space="preserve">find_occurrence_extent()</w:t>
      </w:r>
      <w:r>
        <w:t xml:space="preserve"> </w:t>
      </w:r>
      <w:r>
        <w:t xml:space="preserve">derives the extent from the species’ eBird occurrence records using a centered percentile bounding box, and</w:t>
      </w:r>
    </w:p>
    <w:p>
      <w:pPr>
        <w:numPr>
          <w:ilvl w:val="0"/>
          <w:numId w:val="1003"/>
        </w:numPr>
      </w:pPr>
      <w:r>
        <w:rPr>
          <w:rStyle w:val="VerbatimChar"/>
        </w:rPr>
        <w:t xml:space="preserve">set_extent()</w:t>
      </w:r>
      <w:r>
        <w:t xml:space="preserve"> </w:t>
      </w:r>
      <w:r>
        <w:t xml:space="preserve">accepts explicit bounding box coordinates; run `?set_extent` for details.</w:t>
      </w:r>
    </w:p>
    <w:p>
      <w:pPr>
        <w:pStyle w:val="FirstParagraph"/>
      </w:pPr>
      <w:r>
        <w:t xml:space="preserve">In the code block below, choose one and comment out the other options.</w:t>
      </w:r>
    </w:p>
    <w:p>
      <w:pPr>
        <w:pStyle w:val="SourceCode"/>
      </w:pPr>
      <w:r>
        <w:rPr>
          <w:rStyle w:val="CommentTok"/>
        </w:rPr>
        <w:t xml:space="preserve"># set model extent using the usgs gap range</w:t>
      </w:r>
      <w:r>
        <w:br/>
      </w:r>
      <w:r>
        <w:rPr>
          <w:rStyle w:val="NormalTok"/>
        </w:rPr>
        <w:t xml:space="preserve">rENM.data</w:t>
      </w:r>
      <w:r>
        <w:rPr>
          <w:rStyle w:val="SpecialCharTok"/>
        </w:rPr>
        <w:t xml:space="preserve">::</w:t>
      </w:r>
      <w:r>
        <w:rPr>
          <w:rStyle w:val="FunctionTok"/>
        </w:rPr>
        <w:t xml:space="preserve">find_range_extent</w:t>
      </w:r>
      <w:r>
        <w:rPr>
          <w:rStyle w:val="NormalTok"/>
        </w:rPr>
        <w:t xml:space="preserve">(alpha_code)</w:t>
      </w:r>
      <w:r>
        <w:br/>
      </w:r>
      <w:r>
        <w:br/>
      </w:r>
      <w:r>
        <w:rPr>
          <w:rStyle w:val="CommentTok"/>
        </w:rPr>
        <w:t xml:space="preserve"># set model extent using ebird occurrences records</w:t>
      </w:r>
      <w:r>
        <w:br/>
      </w:r>
      <w:r>
        <w:rPr>
          <w:rStyle w:val="CommentTok"/>
        </w:rPr>
        <w:t xml:space="preserve"># rENM.data::find_occurrence_extent(alpha_code)</w:t>
      </w:r>
      <w:r>
        <w:br/>
      </w:r>
      <w:r>
        <w:br/>
      </w:r>
      <w:r>
        <w:rPr>
          <w:rStyle w:val="CommentTok"/>
        </w:rPr>
        <w:t xml:space="preserve"># manually set the model extent</w:t>
      </w:r>
      <w:r>
        <w:br/>
      </w:r>
      <w:r>
        <w:rPr>
          <w:rStyle w:val="CommentTok"/>
        </w:rPr>
        <w:t xml:space="preserve"># rENM.data::set_extent(alpha_code)</w:t>
      </w:r>
    </w:p>
    <w:bookmarkEnd w:id="42"/>
    <w:bookmarkStart w:id="43" w:name="assembling-merra-variables"/>
    <w:p>
      <w:pPr>
        <w:pStyle w:val="Heading3"/>
      </w:pPr>
      <w:r>
        <w:t xml:space="preserve">- Assembling MERRA variables</w:t>
      </w:r>
    </w:p>
    <w:p>
      <w:pPr>
        <w:pStyle w:val="FirstParagraph"/>
      </w:pPr>
      <w:r>
        <w:t xml:space="preserve">This step copies MERRA-2 and MERRAclim-2 predictor rasters from the base data collection into the species-specific run directory, cropping each layer to the spatial extent defined in the previous step. The results are written to</w:t>
      </w:r>
      <w:r>
        <w:t xml:space="preserve"> </w:t>
      </w:r>
      <w:r>
        <w:rPr>
          <w:rStyle w:val="VerbatimChar"/>
        </w:rPr>
        <w:t xml:space="preserve">&lt;alpha_code&gt;/_vars/</w:t>
      </w:r>
      <w:r>
        <w:t xml:space="preserve">.</w:t>
      </w:r>
    </w:p>
    <w:p>
      <w:pPr>
        <w:pStyle w:val="BodyText"/>
      </w:pPr>
      <w:r>
        <w:t xml:space="preserve">Use</w:t>
      </w:r>
      <w:r>
        <w:t xml:space="preserve"> </w:t>
      </w:r>
      <w:r>
        <w:rPr>
          <w:rStyle w:val="VerbatimChar"/>
        </w:rPr>
        <w:t xml:space="preserve">rENM.core::show_variables()</w:t>
      </w:r>
      <w:r>
        <w:t xml:space="preserve"> </w:t>
      </w:r>
      <w:r>
        <w:t xml:space="preserve">in the RStudio console to display a list of available variables. You can pass explicit variable selections to the</w:t>
      </w:r>
      <w:r>
        <w:t xml:space="preserve"> </w:t>
      </w:r>
      <w:r>
        <w:rPr>
          <w:rStyle w:val="VerbatimChar"/>
        </w:rPr>
        <w:t xml:space="preserve">m2_vars</w:t>
      </w:r>
      <w:r>
        <w:t xml:space="preserve"> </w:t>
      </w:r>
      <w:r>
        <w:t xml:space="preserve">and</w:t>
      </w:r>
      <w:r>
        <w:t xml:space="preserve"> </w:t>
      </w:r>
      <w:r>
        <w:rPr>
          <w:rStyle w:val="VerbatimChar"/>
        </w:rPr>
        <w:t xml:space="preserve">mc_vars</w:t>
      </w:r>
      <w:r>
        <w:t xml:space="preserve"> </w:t>
      </w:r>
      <w:r>
        <w:t xml:space="preserve">arguments, or set either to</w:t>
      </w:r>
      <w:r>
        <w:t xml:space="preserve"> </w:t>
      </w:r>
      <w:r>
        <w:rPr>
          <w:rStyle w:val="VerbatimChar"/>
        </w:rPr>
        <w:t xml:space="preserve">NULL</w:t>
      </w:r>
      <w:r>
        <w:t xml:space="preserve"> </w:t>
      </w:r>
      <w:r>
        <w:t xml:space="preserve">to include all available variables of that type. The example below includes all available variables; variable definitions can be found in Appendix B.</w:t>
      </w:r>
    </w:p>
    <w:p>
      <w:pPr>
        <w:pStyle w:val="SourceCode"/>
      </w:pPr>
      <w:r>
        <w:rPr>
          <w:rStyle w:val="CommentTok"/>
        </w:rPr>
        <w:t xml:space="preserve"># MERRA-2 microclimatic variables — set to NULL to include all</w:t>
      </w:r>
      <w:r>
        <w:br/>
      </w:r>
      <w:r>
        <w:rPr>
          <w:rStyle w:val="CommentTok"/>
        </w:rPr>
        <w:t xml:space="preserve"># m2_vars &lt;- c("evpintr", "evpsoil", "prevtot", "qv2m",</w:t>
      </w:r>
      <w:r>
        <w:br/>
      </w:r>
      <w:r>
        <w:rPr>
          <w:rStyle w:val="CommentTok"/>
        </w:rPr>
        <w:t xml:space="preserve">#              "speed", "swgnt", "tautot")</w:t>
      </w:r>
      <w:r>
        <w:br/>
      </w:r>
      <w:r>
        <w:br/>
      </w:r>
      <w:r>
        <w:rPr>
          <w:rStyle w:val="CommentTok"/>
        </w:rPr>
        <w:t xml:space="preserve"># MERRAclim-2 bioclimatic variables — set to NULL to include all</w:t>
      </w:r>
      <w:r>
        <w:br/>
      </w:r>
      <w:r>
        <w:rPr>
          <w:rStyle w:val="CommentTok"/>
        </w:rPr>
        <w:t xml:space="preserve"># mc_vars &lt;- c("bio3", "bio5", "bio8", "bio13",</w:t>
      </w:r>
      <w:r>
        <w:br/>
      </w:r>
      <w:r>
        <w:rPr>
          <w:rStyle w:val="CommentTok"/>
        </w:rPr>
        <w:t xml:space="preserve">#              "bio14", "bio15", "bio18")</w:t>
      </w:r>
      <w:r>
        <w:br/>
      </w:r>
      <w:r>
        <w:br/>
      </w:r>
      <w:r>
        <w:rPr>
          <w:rStyle w:val="CommentTok"/>
        </w:rPr>
        <w:t xml:space="preserve"># copy and crop predictor rasters to the run directory</w:t>
      </w:r>
      <w:r>
        <w:br/>
      </w:r>
      <w:r>
        <w:rPr>
          <w:rStyle w:val="NormalTok"/>
        </w:rPr>
        <w:t xml:space="preserve">rENM.data</w:t>
      </w:r>
      <w:r>
        <w:rPr>
          <w:rStyle w:val="SpecialCharTok"/>
        </w:rPr>
        <w:t xml:space="preserve">::</w:t>
      </w:r>
      <w:r>
        <w:rPr>
          <w:rStyle w:val="FunctionTok"/>
        </w:rPr>
        <w:t xml:space="preserve">get_merra_variables</w:t>
      </w:r>
      <w:r>
        <w:rPr>
          <w:rStyle w:val="NormalTok"/>
        </w:rPr>
        <w:t xml:space="preserve">(</w:t>
      </w:r>
      <w:r>
        <w:br/>
      </w:r>
      <w:r>
        <w:rPr>
          <w:rStyle w:val="NormalTok"/>
        </w:rPr>
        <w:t xml:space="preserve">  </w:t>
      </w:r>
      <w:r>
        <w:rPr>
          <w:rStyle w:val="AttributeTok"/>
        </w:rPr>
        <w:t xml:space="preserve">alpha_code =</w:t>
      </w:r>
      <w:r>
        <w:rPr>
          <w:rStyle w:val="NormalTok"/>
        </w:rPr>
        <w:t xml:space="preserve"> alpha_code,</w:t>
      </w:r>
      <w:r>
        <w:br/>
      </w:r>
      <w:r>
        <w:rPr>
          <w:rStyle w:val="NormalTok"/>
        </w:rPr>
        <w:t xml:space="preserve">  </w:t>
      </w:r>
      <w:r>
        <w:rPr>
          <w:rStyle w:val="AttributeTok"/>
        </w:rPr>
        <w:t xml:space="preserve">m2_vars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mc_vars =</w:t>
      </w:r>
      <w:r>
        <w:rPr>
          <w:rStyle w:val="NormalTok"/>
        </w:rPr>
        <w:t xml:space="preserve"> </w:t>
      </w:r>
      <w:r>
        <w:rPr>
          <w:rStyle w:val="ConstantTok"/>
        </w:rPr>
        <w:t xml:space="preserve">NULL</w:t>
      </w:r>
      <w:r>
        <w:rPr>
          <w:rStyle w:val="NormalTok"/>
        </w:rPr>
        <w:t xml:space="preserve">)</w:t>
      </w:r>
    </w:p>
    <w:bookmarkEnd w:id="43"/>
    <w:bookmarkEnd w:id="44"/>
    <w:bookmarkEnd w:id="45"/>
    <w:bookmarkStart w:id="52" w:name="time-series-construction"/>
    <w:p>
      <w:pPr>
        <w:pStyle w:val="Heading1"/>
      </w:pPr>
      <w:r>
        <w:t xml:space="preserve">Time Series Construction</w:t>
      </w:r>
    </w:p>
    <w:p>
      <w:pPr>
        <w:pStyle w:val="FirstParagraph"/>
      </w:pPr>
      <w:r>
        <w:t xml:space="preserve">Time series construction transforms the prepared occurrence records and environmental predictor variables into a multi-decadal series of ensemble ecological niche models. By the end of this section, you will have nine ensemble suitability models, one for each five-year temporal bin spanning 1980–2024, that together constitute the rENM time series consumed by the analysis steps in the following section.</w:t>
      </w:r>
    </w:p>
    <w:bookmarkStart w:id="46" w:name="staging-occurrence-records"/>
    <w:p>
      <w:pPr>
        <w:pStyle w:val="Heading2"/>
      </w:pPr>
      <w:r>
        <w:t xml:space="preserve">Staging occurrence records</w:t>
      </w:r>
    </w:p>
    <w:p>
      <w:pPr>
        <w:pStyle w:val="FirstParagraph"/>
      </w:pPr>
      <w:r>
        <w:t xml:space="preserve">This step moves the processed occurrence records from the</w:t>
      </w:r>
      <w:r>
        <w:t xml:space="preserve"> </w:t>
      </w:r>
      <w:r>
        <w:rPr>
          <w:rStyle w:val="VerbatimChar"/>
        </w:rPr>
        <w:t xml:space="preserve">&lt;alpha_code&gt;/_occs/</w:t>
      </w:r>
      <w:r>
        <w:t xml:space="preserve"> </w:t>
      </w:r>
      <w:r>
        <w:t xml:space="preserve">directory into a structured</w:t>
      </w:r>
      <w:r>
        <w:t xml:space="preserve"> </w:t>
      </w:r>
      <w:r>
        <w:rPr>
          <w:rStyle w:val="VerbatimChar"/>
        </w:rPr>
        <w:t xml:space="preserve">TimeSeries</w:t>
      </w:r>
      <w:r>
        <w:t xml:space="preserve"> </w:t>
      </w:r>
      <w:r>
        <w:t xml:space="preserve">directory organized into nine five-year bins. Within each bin, occurrence records are stored in an</w:t>
      </w:r>
      <w:r>
        <w:t xml:space="preserve"> </w:t>
      </w:r>
      <w:r>
        <w:rPr>
          <w:rStyle w:val="VerbatimChar"/>
        </w:rPr>
        <w:t xml:space="preserve">occs</w:t>
      </w:r>
      <w:r>
        <w:t xml:space="preserve"> </w:t>
      </w:r>
      <w:r>
        <w:t xml:space="preserve">subdirectory. The resulting structure is</w:t>
      </w:r>
      <w:r>
        <w:t xml:space="preserve"> </w:t>
      </w:r>
      <w:r>
        <w:rPr>
          <w:rStyle w:val="VerbatimChar"/>
        </w:rPr>
        <w:t xml:space="preserve">&lt;alpha_code&gt;/TimeSeries/&lt;year&gt;/occs/</w:t>
      </w:r>
      <w:r>
        <w:t xml:space="preserve">.</w:t>
      </w:r>
    </w:p>
    <w:p>
      <w:pPr>
        <w:pStyle w:val="SourceCode"/>
      </w:pPr>
      <w:r>
        <w:rPr>
          <w:rStyle w:val="CommentTok"/>
        </w:rPr>
        <w:t xml:space="preserve"># stage occurrence records into TimeSeries bins</w:t>
      </w:r>
      <w:r>
        <w:br/>
      </w:r>
      <w:r>
        <w:rPr>
          <w:rStyle w:val="NormalTok"/>
        </w:rPr>
        <w:t xml:space="preserve">rENM.model</w:t>
      </w:r>
      <w:r>
        <w:rPr>
          <w:rStyle w:val="SpecialCharTok"/>
        </w:rPr>
        <w:t xml:space="preserve">::</w:t>
      </w:r>
      <w:r>
        <w:rPr>
          <w:rStyle w:val="FunctionTok"/>
        </w:rPr>
        <w:t xml:space="preserve">stage_occurrences</w:t>
      </w:r>
      <w:r>
        <w:rPr>
          <w:rStyle w:val="NormalTok"/>
        </w:rPr>
        <w:t xml:space="preserve">(alpha_code)</w:t>
      </w:r>
    </w:p>
    <w:bookmarkEnd w:id="46"/>
    <w:bookmarkStart w:id="49" w:name="staging-environmental-variables"/>
    <w:p>
      <w:pPr>
        <w:pStyle w:val="Heading2"/>
      </w:pPr>
      <w:r>
        <w:t xml:space="preserve">Staging environmental variables</w:t>
      </w:r>
    </w:p>
    <w:p>
      <w:pPr>
        <w:pStyle w:val="FirstParagraph"/>
      </w:pPr>
      <w:r>
        <w:t xml:space="preserve">Two options are available for staging environmental variables. Choose one and comment out the other.</w:t>
      </w:r>
    </w:p>
    <w:bookmarkStart w:id="47" w:name="option-1---simple-staging"/>
    <w:p>
      <w:pPr>
        <w:pStyle w:val="Heading3"/>
      </w:pPr>
      <w:r>
        <w:t xml:space="preserve">- Option 1 - Simple staging</w:t>
      </w:r>
    </w:p>
    <w:p>
      <w:pPr>
        <w:pStyle w:val="FirstParagraph"/>
      </w:pPr>
      <w:r>
        <w:t xml:space="preserve">This option transfers all cropped environmental predictors from</w:t>
      </w:r>
      <w:r>
        <w:t xml:space="preserve"> </w:t>
      </w:r>
      <w:r>
        <w:rPr>
          <w:rStyle w:val="VerbatimChar"/>
        </w:rPr>
        <w:t xml:space="preserve">&lt;alpha_code&gt;/_vars/</w:t>
      </w:r>
      <w:r>
        <w:t xml:space="preserve"> </w:t>
      </w:r>
      <w:r>
        <w:t xml:space="preserve">into the</w:t>
      </w:r>
      <w:r>
        <w:t xml:space="preserve"> </w:t>
      </w:r>
      <w:r>
        <w:rPr>
          <w:rStyle w:val="VerbatimChar"/>
        </w:rPr>
        <w:t xml:space="preserve">TimeSeries</w:t>
      </w:r>
      <w:r>
        <w:t xml:space="preserve"> </w:t>
      </w:r>
      <w:r>
        <w:t xml:space="preserve">directory without modification, placing them in a</w:t>
      </w:r>
      <w:r>
        <w:t xml:space="preserve"> </w:t>
      </w:r>
      <w:r>
        <w:rPr>
          <w:rStyle w:val="VerbatimChar"/>
        </w:rPr>
        <w:t xml:space="preserve">vars</w:t>
      </w:r>
      <w:r>
        <w:t xml:space="preserve"> </w:t>
      </w:r>
      <w:r>
        <w:t xml:space="preserve">subdirectory within each temporal bin. Use this option if you want to include all available variables without screening.</w:t>
      </w:r>
    </w:p>
    <w:p>
      <w:pPr>
        <w:pStyle w:val="SourceCode"/>
      </w:pPr>
      <w:r>
        <w:rPr>
          <w:rStyle w:val="CommentTok"/>
        </w:rPr>
        <w:t xml:space="preserve"># stage all environmental variables into TimeSeries bins</w:t>
      </w:r>
      <w:r>
        <w:br/>
      </w:r>
      <w:r>
        <w:rPr>
          <w:rStyle w:val="CommentTok"/>
        </w:rPr>
        <w:t xml:space="preserve"># rENM.model::stage_all_variables(alpha_code)</w:t>
      </w:r>
    </w:p>
    <w:bookmarkEnd w:id="47"/>
    <w:bookmarkStart w:id="48" w:name="option-2---staging-with-down-selection"/>
    <w:p>
      <w:pPr>
        <w:pStyle w:val="Heading3"/>
      </w:pPr>
      <w:r>
        <w:t xml:space="preserve">- Option 2 - Staging with down selection</w:t>
      </w:r>
    </w:p>
    <w:p>
      <w:pPr>
        <w:pStyle w:val="FirstParagraph"/>
      </w:pPr>
      <w:r>
        <w:t xml:space="preserve">With this option, a Monte Carlo–based variable selection procedure (Schnase et al. 2022) is first applied to the variables in</w:t>
      </w:r>
      <w:r>
        <w:t xml:space="preserve"> </w:t>
      </w:r>
      <w:r>
        <w:rPr>
          <w:rStyle w:val="VerbatimChar"/>
        </w:rPr>
        <w:t xml:space="preserve">&lt;alpha_code&gt;/_vars/</w:t>
      </w:r>
      <w:r>
        <w:t xml:space="preserve">. This step identifies the highest-performing variables, which are then transferred to the</w:t>
      </w:r>
      <w:r>
        <w:t xml:space="preserve"> </w:t>
      </w:r>
      <w:r>
        <w:rPr>
          <w:rStyle w:val="VerbatimChar"/>
        </w:rPr>
        <w:t xml:space="preserve">TimeSeries</w:t>
      </w:r>
      <w:r>
        <w:t xml:space="preserve"> </w:t>
      </w:r>
      <w:r>
        <w:t xml:space="preserve">directory for further processing.</w:t>
      </w:r>
    </w:p>
    <w:p>
      <w:pPr>
        <w:pStyle w:val="BodyText"/>
      </w:pPr>
      <w:r>
        <w:t xml:space="preserve">This option applies a Monte Carlo convergence procedure to identify the highest-contributing predictors for each temporal bin before staging them. It is the recommended option for most analyses. The screener evaluates randomly selected pairs of predictors across independent model runs and identifies the variables that consistently emerge as top contributors within each bin. Screening is performed independently for each bin, so variable selection is informed only by the occurrence records and environmental data for that interval. See Schnase et al. (2022) for additional detail.</w:t>
      </w:r>
    </w:p>
    <w:p>
      <w:pPr>
        <w:pStyle w:val="BodyText"/>
      </w:pPr>
      <w:r>
        <w:t xml:space="preserve">The</w:t>
      </w:r>
      <w:r>
        <w:t xml:space="preserve"> </w:t>
      </w:r>
      <w:r>
        <w:rPr>
          <w:rStyle w:val="VerbatimChar"/>
        </w:rPr>
        <w:t xml:space="preserve">screen_by_convergence2()</w:t>
      </w:r>
      <w:r>
        <w:t xml:space="preserve"> </w:t>
      </w:r>
      <w:r>
        <w:t xml:space="preserve">function uses the R package</w:t>
      </w:r>
      <w:r>
        <w:t xml:space="preserve"> </w:t>
      </w:r>
      <w:r>
        <w:rPr>
          <w:rStyle w:val="VerbatimChar"/>
        </w:rPr>
        <w:t xml:space="preserve">maxnet</w:t>
      </w:r>
      <w:r>
        <w:t xml:space="preserve"> </w:t>
      </w:r>
      <w:r>
        <w:t xml:space="preserve">to drive selection and has no external dependencies. A Java-dependent alternative,</w:t>
      </w:r>
      <w:r>
        <w:t xml:space="preserve"> </w:t>
      </w:r>
      <w:r>
        <w:rPr>
          <w:rStyle w:val="VerbatimChar"/>
        </w:rPr>
        <w:t xml:space="preserve">screen_by_convergence1()</w:t>
      </w:r>
      <w:r>
        <w:t xml:space="preserve">, is available for users who prefer to use MaxEnt via the</w:t>
      </w:r>
      <w:r>
        <w:t xml:space="preserve"> </w:t>
      </w:r>
      <w:r>
        <w:rPr>
          <w:rStyle w:val="VerbatimChar"/>
        </w:rPr>
        <w:t xml:space="preserve">dismo</w:t>
      </w:r>
      <w:r>
        <w:t xml:space="preserve"> </w:t>
      </w:r>
      <w:r>
        <w:t xml:space="preserve">package; enter</w:t>
      </w:r>
      <w:r>
        <w:t xml:space="preserve"> </w:t>
      </w:r>
      <w:r>
        <w:rPr>
          <w:rStyle w:val="VerbatimChar"/>
        </w:rPr>
        <w:t xml:space="preserve">?screen_by_convergence1</w:t>
      </w:r>
      <w:r>
        <w:t xml:space="preserve"> </w:t>
      </w:r>
      <w:r>
        <w:t xml:space="preserve">for details.</w:t>
      </w:r>
    </w:p>
    <w:p>
      <w:pPr>
        <w:pStyle w:val="SourceCode"/>
      </w:pPr>
      <w:r>
        <w:rPr>
          <w:rStyle w:val="CommentTok"/>
        </w:rPr>
        <w:t xml:space="preserve"># screen variables by convergence [recommended]</w:t>
      </w:r>
      <w:r>
        <w:br/>
      </w:r>
      <w:r>
        <w:rPr>
          <w:rStyle w:val="NormalTok"/>
        </w:rPr>
        <w:t xml:space="preserve">rENM.model</w:t>
      </w:r>
      <w:r>
        <w:rPr>
          <w:rStyle w:val="SpecialCharTok"/>
        </w:rPr>
        <w:t xml:space="preserve">::</w:t>
      </w:r>
      <w:r>
        <w:rPr>
          <w:rStyle w:val="FunctionTok"/>
        </w:rPr>
        <w:t xml:space="preserve">screen_by_convergence2</w:t>
      </w:r>
      <w:r>
        <w:rPr>
          <w:rStyle w:val="NormalTok"/>
        </w:rPr>
        <w:t xml:space="preserve">(alpha_code)</w:t>
      </w:r>
      <w:r>
        <w:br/>
      </w:r>
      <w:r>
        <w:br/>
      </w:r>
      <w:r>
        <w:rPr>
          <w:rStyle w:val="CommentTok"/>
        </w:rPr>
        <w:t xml:space="preserve"># stage screened variables into TimeSeries bins</w:t>
      </w:r>
      <w:r>
        <w:br/>
      </w:r>
      <w:r>
        <w:rPr>
          <w:rStyle w:val="NormalTok"/>
        </w:rPr>
        <w:t xml:space="preserve">rENM.model</w:t>
      </w:r>
      <w:r>
        <w:rPr>
          <w:rStyle w:val="SpecialCharTok"/>
        </w:rPr>
        <w:t xml:space="preserve">::</w:t>
      </w:r>
      <w:r>
        <w:rPr>
          <w:rStyle w:val="FunctionTok"/>
        </w:rPr>
        <w:t xml:space="preserve">stage_screened_variables</w:t>
      </w:r>
      <w:r>
        <w:rPr>
          <w:rStyle w:val="NormalTok"/>
        </w:rPr>
        <w:t xml:space="preserve">(alpha_code)</w:t>
      </w:r>
    </w:p>
    <w:bookmarkEnd w:id="48"/>
    <w:bookmarkEnd w:id="49"/>
    <w:bookmarkStart w:id="50" w:name="reducing-covariance"/>
    <w:p>
      <w:pPr>
        <w:pStyle w:val="Heading2"/>
      </w:pPr>
      <w:r>
        <w:t xml:space="preserve">Reducing covariance</w:t>
      </w:r>
    </w:p>
    <w:p>
      <w:pPr>
        <w:pStyle w:val="FirstParagraph"/>
      </w:pPr>
      <w:r>
        <w:t xml:space="preserve">This optional step removes covarying predictors from the staged environmental variable sets using variance inflation factor (VIF) screening. By default, a “light-touch” approach is applied using a relaxed VIF threshold (10) and a high correlation threshold (0.95), removing only strongly redundant variables while preserving alternative representations of environmental gradients.</w:t>
      </w:r>
    </w:p>
    <w:p>
      <w:pPr>
        <w:pStyle w:val="BodyText"/>
      </w:pPr>
      <w:r>
        <w:t xml:space="preserve">It is commented out by default. In practice, omitting this step may produce better representation of environmental structure, particularly when the Monte Carlo variable screening procedure described above has already identified a compact, informative predictor set.</w:t>
      </w:r>
    </w:p>
    <w:p>
      <w:pPr>
        <w:pStyle w:val="SourceCode"/>
      </w:pPr>
      <w:r>
        <w:rPr>
          <w:rStyle w:val="CommentTok"/>
        </w:rPr>
        <w:t xml:space="preserve"># remove collinear predictors from staged variable sets [optional]</w:t>
      </w:r>
      <w:r>
        <w:br/>
      </w:r>
      <w:r>
        <w:rPr>
          <w:rStyle w:val="CommentTok"/>
        </w:rPr>
        <w:t xml:space="preserve"># rENM.model::reduce_covariance(alpha_code)</w:t>
      </w:r>
    </w:p>
    <w:bookmarkEnd w:id="50"/>
    <w:bookmarkStart w:id="51" w:name="computing-the-time-series"/>
    <w:p>
      <w:pPr>
        <w:pStyle w:val="Heading2"/>
      </w:pPr>
      <w:r>
        <w:t xml:space="preserve">Computing the time series</w:t>
      </w:r>
    </w:p>
    <w:p>
      <w:pPr>
        <w:pStyle w:val="FirstParagraph"/>
      </w:pPr>
      <w:r>
        <w:t xml:space="preserve">The</w:t>
      </w:r>
      <w:r>
        <w:t xml:space="preserve"> </w:t>
      </w:r>
      <w:r>
        <w:rPr>
          <w:rStyle w:val="VerbatimChar"/>
        </w:rPr>
        <w:t xml:space="preserve">create_timeseries()</w:t>
      </w:r>
      <w:r>
        <w:t xml:space="preserve"> </w:t>
      </w:r>
      <w:r>
        <w:t xml:space="preserve">function fits an ensemble of five ecological niche models for each of the nine temporal bins in parallel. The five algorithms are maxnet, random forest, boosted regression trees, generalized linear models, and multivariate adaptive regression splines. Ensemble predictions are computed as the unweighted average across the five algorithms. Each bin produces a continuous suitability raster and a binary range raster. Together these nine suitability rasters constitute the rENM time series and are the primary inputs to the analysis steps that follow. For additional details and configuration options, refer to the documentation by running</w:t>
      </w:r>
      <w:r>
        <w:t xml:space="preserve"> </w:t>
      </w:r>
      <w:r>
        <w:rPr>
          <w:rStyle w:val="VerbatimChar"/>
        </w:rPr>
        <w:t xml:space="preserve">?create_ensemble_model</w:t>
      </w:r>
      <w:r>
        <w:t xml:space="preserve"> </w:t>
      </w:r>
      <w:r>
        <w:t xml:space="preserve">in the RStudio console.</w:t>
      </w:r>
    </w:p>
    <w:p>
      <w:pPr>
        <w:pStyle w:val="SourceCode"/>
      </w:pPr>
      <w:r>
        <w:rPr>
          <w:rStyle w:val="CommentTok"/>
        </w:rPr>
        <w:t xml:space="preserve"># fit ensemble models across all temporal bins</w:t>
      </w:r>
      <w:r>
        <w:br/>
      </w:r>
      <w:r>
        <w:rPr>
          <w:rStyle w:val="NormalTok"/>
        </w:rPr>
        <w:t xml:space="preserve">rENM.model</w:t>
      </w:r>
      <w:r>
        <w:rPr>
          <w:rStyle w:val="SpecialCharTok"/>
        </w:rPr>
        <w:t xml:space="preserve">::</w:t>
      </w:r>
      <w:r>
        <w:rPr>
          <w:rStyle w:val="FunctionTok"/>
        </w:rPr>
        <w:t xml:space="preserve">create_timeseries</w:t>
      </w:r>
      <w:r>
        <w:rPr>
          <w:rStyle w:val="NormalTok"/>
        </w:rPr>
        <w:t xml:space="preserve">(alpha_code)</w:t>
      </w:r>
    </w:p>
    <w:bookmarkEnd w:id="51"/>
    <w:bookmarkEnd w:id="52"/>
    <w:bookmarkStart w:id="66" w:name="time-series-analysis"/>
    <w:p>
      <w:pPr>
        <w:pStyle w:val="Heading1"/>
      </w:pPr>
      <w:r>
        <w:t xml:space="preserve">Time Series Analysis</w:t>
      </w:r>
    </w:p>
    <w:p>
      <w:pPr>
        <w:pStyle w:val="FirstParagraph"/>
      </w:pPr>
      <w:r>
        <w:t xml:space="preserve">Time series analysis transforms the nine ensemble suitability rasters produced in the previous section into the principal analytical outputs of the rENM Framework. By the end of this section you will have quantitative trend estimates, spatial metrics, and derived ecological signals that are consumed by the report generation and GenAI interpretation steps that follow.</w:t>
      </w:r>
    </w:p>
    <w:bookmarkStart w:id="57" w:name="suitability-trend-analysis"/>
    <w:p>
      <w:pPr>
        <w:pStyle w:val="Heading2"/>
      </w:pPr>
      <w:r>
        <w:t xml:space="preserve">Suitability trend analysis</w:t>
      </w:r>
    </w:p>
    <w:bookmarkStart w:id="53" w:name="finding-the-suitability-trend"/>
    <w:p>
      <w:pPr>
        <w:pStyle w:val="Heading3"/>
      </w:pPr>
      <w:r>
        <w:t xml:space="preserve">- Finding the suitability trend</w:t>
      </w:r>
    </w:p>
    <w:p>
      <w:pPr>
        <w:pStyle w:val="FirstParagraph"/>
      </w:pPr>
      <w:r>
        <w:t xml:space="preserve">This required step computes per-cell Theil-Sen trend estimates from the time series of suitability rasters and derives Mann-Kendall statistics to assess the direction and significance of temporal trends in climatic suitability across the modeled extent. The resulting trend raster is the foundation for all subsequent analyses.</w:t>
      </w:r>
    </w:p>
    <w:p>
      <w:pPr>
        <w:pStyle w:val="SourceCode"/>
      </w:pPr>
      <w:r>
        <w:rPr>
          <w:rStyle w:val="CommentTok"/>
        </w:rPr>
        <w:t xml:space="preserve"># compute theil-sen trends across the time series</w:t>
      </w:r>
      <w:r>
        <w:br/>
      </w:r>
      <w:r>
        <w:rPr>
          <w:rStyle w:val="NormalTok"/>
        </w:rPr>
        <w:t xml:space="preserve">rENM.analysis</w:t>
      </w:r>
      <w:r>
        <w:rPr>
          <w:rStyle w:val="SpecialCharTok"/>
        </w:rPr>
        <w:t xml:space="preserve">::</w:t>
      </w:r>
      <w:r>
        <w:rPr>
          <w:rStyle w:val="FunctionTok"/>
        </w:rPr>
        <w:t xml:space="preserve">find_suitability_trend</w:t>
      </w:r>
      <w:r>
        <w:rPr>
          <w:rStyle w:val="NormalTok"/>
        </w:rPr>
        <w:t xml:space="preserve">(alpha_code)</w:t>
      </w:r>
    </w:p>
    <w:bookmarkEnd w:id="53"/>
    <w:bookmarkStart w:id="54" w:name="finding-overall-trend-percentages"/>
    <w:p>
      <w:pPr>
        <w:pStyle w:val="Heading3"/>
      </w:pPr>
      <w:r>
        <w:t xml:space="preserve">- Finding overall trend percentages</w:t>
      </w:r>
    </w:p>
    <w:p>
      <w:pPr>
        <w:pStyle w:val="FirstParagraph"/>
      </w:pPr>
      <w:r>
        <w:t xml:space="preserve">This step summarizes the proportions of cells showing positive, negative, and neutral suitability trends across the full modeled extent.</w:t>
      </w:r>
    </w:p>
    <w:p>
      <w:pPr>
        <w:pStyle w:val="SourceCode"/>
      </w:pPr>
      <w:r>
        <w:rPr>
          <w:rStyle w:val="CommentTok"/>
        </w:rPr>
        <w:t xml:space="preserve"># summarize trend proportions across the modeled extent</w:t>
      </w:r>
      <w:r>
        <w:br/>
      </w:r>
      <w:r>
        <w:rPr>
          <w:rStyle w:val="NormalTok"/>
        </w:rPr>
        <w:t xml:space="preserve">rENM.analysis</w:t>
      </w:r>
      <w:r>
        <w:rPr>
          <w:rStyle w:val="SpecialCharTok"/>
        </w:rPr>
        <w:t xml:space="preserve">::</w:t>
      </w:r>
      <w:r>
        <w:rPr>
          <w:rStyle w:val="FunctionTok"/>
        </w:rPr>
        <w:t xml:space="preserve">find_trend_percentages</w:t>
      </w:r>
      <w:r>
        <w:rPr>
          <w:rStyle w:val="NormalTok"/>
        </w:rPr>
        <w:t xml:space="preserve">(alpha_code)</w:t>
      </w:r>
    </w:p>
    <w:bookmarkEnd w:id="54"/>
    <w:bookmarkStart w:id="55" w:name="finding-range-trend-percentages"/>
    <w:p>
      <w:pPr>
        <w:pStyle w:val="Heading3"/>
      </w:pPr>
      <w:r>
        <w:t xml:space="preserve">- Finding range trend percentages</w:t>
      </w:r>
    </w:p>
    <w:p>
      <w:pPr>
        <w:pStyle w:val="FirstParagraph"/>
      </w:pPr>
      <w:r>
        <w:t xml:space="preserve">This step computes the same trend sign statistics restricted to cells within the species’ USGS GAP range.</w:t>
      </w:r>
    </w:p>
    <w:p>
      <w:pPr>
        <w:pStyle w:val="SourceCode"/>
      </w:pPr>
      <w:r>
        <w:rPr>
          <w:rStyle w:val="CommentTok"/>
        </w:rPr>
        <w:t xml:space="preserve"># summarize trend proportions within the USGS GAP range</w:t>
      </w:r>
      <w:r>
        <w:br/>
      </w:r>
      <w:r>
        <w:rPr>
          <w:rStyle w:val="NormalTok"/>
        </w:rPr>
        <w:t xml:space="preserve">rENM.analysis</w:t>
      </w:r>
      <w:r>
        <w:rPr>
          <w:rStyle w:val="SpecialCharTok"/>
        </w:rPr>
        <w:t xml:space="preserve">::</w:t>
      </w:r>
      <w:r>
        <w:rPr>
          <w:rStyle w:val="FunctionTok"/>
        </w:rPr>
        <w:t xml:space="preserve">find_range_change_percentages</w:t>
      </w:r>
      <w:r>
        <w:rPr>
          <w:rStyle w:val="NormalTok"/>
        </w:rPr>
        <w:t xml:space="preserve">(alpha_code)</w:t>
      </w:r>
    </w:p>
    <w:bookmarkEnd w:id="55"/>
    <w:bookmarkStart w:id="56" w:name="finding-state-level-suitability-trends"/>
    <w:p>
      <w:pPr>
        <w:pStyle w:val="Heading3"/>
      </w:pPr>
      <w:r>
        <w:t xml:space="preserve">- Finding state-level suitability trends</w:t>
      </w:r>
    </w:p>
    <w:p>
      <w:pPr>
        <w:pStyle w:val="FirstParagraph"/>
      </w:pPr>
      <w:r>
        <w:t xml:space="preserve">This step computes summary trend metrics for each state intersecting the species’ USGS GAP range and generates a map illustrating spatial patterns alongside state-level statistics.</w:t>
      </w:r>
    </w:p>
    <w:p>
      <w:pPr>
        <w:pStyle w:val="SourceCode"/>
      </w:pPr>
      <w:r>
        <w:rPr>
          <w:rStyle w:val="CommentTok"/>
        </w:rPr>
        <w:t xml:space="preserve"># compute state-level suitability trend analysis and map</w:t>
      </w:r>
      <w:r>
        <w:br/>
      </w:r>
      <w:r>
        <w:rPr>
          <w:rStyle w:val="NormalTok"/>
        </w:rPr>
        <w:t xml:space="preserve">rENM.analysis</w:t>
      </w:r>
      <w:r>
        <w:rPr>
          <w:rStyle w:val="SpecialCharTok"/>
        </w:rPr>
        <w:t xml:space="preserve">::</w:t>
      </w:r>
      <w:r>
        <w:rPr>
          <w:rStyle w:val="FunctionTok"/>
        </w:rPr>
        <w:t xml:space="preserve">create_state_trend_analysis</w:t>
      </w:r>
      <w:r>
        <w:rPr>
          <w:rStyle w:val="NormalTok"/>
        </w:rPr>
        <w:t xml:space="preserve">(alpha_code)</w:t>
      </w:r>
    </w:p>
    <w:bookmarkEnd w:id="56"/>
    <w:bookmarkEnd w:id="57"/>
    <w:bookmarkStart w:id="60" w:name="centroid-trend-analysis"/>
    <w:p>
      <w:pPr>
        <w:pStyle w:val="Heading2"/>
      </w:pPr>
      <w:r>
        <w:t xml:space="preserve">Centroid trend analysis</w:t>
      </w:r>
    </w:p>
    <w:bookmarkStart w:id="58" w:name="finding-temporal-trends"/>
    <w:p>
      <w:pPr>
        <w:pStyle w:val="Heading3"/>
      </w:pPr>
      <w:r>
        <w:t xml:space="preserve">- Finding temporal trends</w:t>
      </w:r>
    </w:p>
    <w:p>
      <w:pPr>
        <w:pStyle w:val="FirstParagraph"/>
      </w:pPr>
      <w:r>
        <w:t xml:space="preserve">This step fits Bayesian linear models to the latitude and longitude coordinates of the suitability-weighted geographic centroid across the nine temporal bins, producing plots and summary statistics that describe the direction and rate of long-term centroid displacement.</w:t>
      </w:r>
    </w:p>
    <w:p>
      <w:pPr>
        <w:pStyle w:val="SourceCode"/>
      </w:pPr>
      <w:r>
        <w:rPr>
          <w:rStyle w:val="CommentTok"/>
        </w:rPr>
        <w:t xml:space="preserve"># fit Bayesian trend models to centroid coordinates</w:t>
      </w:r>
      <w:r>
        <w:br/>
      </w:r>
      <w:r>
        <w:rPr>
          <w:rStyle w:val="NormalTok"/>
        </w:rPr>
        <w:t xml:space="preserve">rENM.analysis</w:t>
      </w:r>
      <w:r>
        <w:rPr>
          <w:rStyle w:val="SpecialCharTok"/>
        </w:rPr>
        <w:t xml:space="preserve">::</w:t>
      </w:r>
      <w:r>
        <w:rPr>
          <w:rStyle w:val="FunctionTok"/>
        </w:rPr>
        <w:t xml:space="preserve">analyze_weighted_centroids</w:t>
      </w:r>
      <w:r>
        <w:rPr>
          <w:rStyle w:val="NormalTok"/>
        </w:rPr>
        <w:t xml:space="preserve">(alpha_code)</w:t>
      </w:r>
    </w:p>
    <w:bookmarkEnd w:id="58"/>
    <w:bookmarkStart w:id="59" w:name="finding-bioclimatic-velocity"/>
    <w:p>
      <w:pPr>
        <w:pStyle w:val="Heading3"/>
      </w:pPr>
      <w:r>
        <w:t xml:space="preserve">- Finding bioclimatic velocity</w:t>
      </w:r>
    </w:p>
    <w:p>
      <w:pPr>
        <w:pStyle w:val="FirstParagraph"/>
      </w:pPr>
      <w:r>
        <w:t xml:space="preserve">This step uses the centroid trajectory to estimate the direction, distance, and velocity of suitability displacement over the 45-year study period.</w:t>
      </w:r>
    </w:p>
    <w:p>
      <w:pPr>
        <w:pStyle w:val="SourceCode"/>
      </w:pPr>
      <w:r>
        <w:rPr>
          <w:rStyle w:val="CommentTok"/>
        </w:rPr>
        <w:t xml:space="preserve"># estimate bioclimatic velocity from centroid trajectory</w:t>
      </w:r>
      <w:r>
        <w:br/>
      </w:r>
      <w:r>
        <w:rPr>
          <w:rStyle w:val="NormalTok"/>
        </w:rPr>
        <w:t xml:space="preserve">rENM.analysis</w:t>
      </w:r>
      <w:r>
        <w:rPr>
          <w:rStyle w:val="SpecialCharTok"/>
        </w:rPr>
        <w:t xml:space="preserve">::</w:t>
      </w:r>
      <w:r>
        <w:rPr>
          <w:rStyle w:val="FunctionTok"/>
        </w:rPr>
        <w:t xml:space="preserve">find_bioclimatic_velocity</w:t>
      </w:r>
      <w:r>
        <w:rPr>
          <w:rStyle w:val="NormalTok"/>
        </w:rPr>
        <w:t xml:space="preserve">(alpha_code)</w:t>
      </w:r>
    </w:p>
    <w:p>
      <w:pPr>
        <w:pStyle w:val="FirstParagraph"/>
      </w:pPr>
      <w:r>
        <w:t xml:space="preserve">This function also generates a suitability trend map with the centroid displacement vector overlaid.</w:t>
      </w:r>
    </w:p>
    <w:p>
      <w:pPr>
        <w:pStyle w:val="SourceCode"/>
      </w:pPr>
      <w:r>
        <w:rPr>
          <w:rStyle w:val="CommentTok"/>
        </w:rPr>
        <w:t xml:space="preserve"># save suitability trend map with centroid displacement vector</w:t>
      </w:r>
      <w:r>
        <w:br/>
      </w:r>
      <w:r>
        <w:rPr>
          <w:rStyle w:val="NormalTok"/>
        </w:rPr>
        <w:t xml:space="preserve">rENM.analysis</w:t>
      </w:r>
      <w:r>
        <w:rPr>
          <w:rStyle w:val="SpecialCharTok"/>
        </w:rPr>
        <w:t xml:space="preserve">::</w:t>
      </w:r>
      <w:r>
        <w:rPr>
          <w:rStyle w:val="FunctionTok"/>
        </w:rPr>
        <w:t xml:space="preserve">save_trend_plot_with_centroids</w:t>
      </w:r>
      <w:r>
        <w:rPr>
          <w:rStyle w:val="NormalTok"/>
        </w:rPr>
        <w:t xml:space="preserve">(alpha_code)</w:t>
      </w:r>
    </w:p>
    <w:bookmarkEnd w:id="59"/>
    <w:bookmarkEnd w:id="60"/>
    <w:bookmarkStart w:id="63" w:name="variable-trend-analysis"/>
    <w:p>
      <w:pPr>
        <w:pStyle w:val="Heading2"/>
      </w:pPr>
      <w:r>
        <w:t xml:space="preserve">Variable trend analysis</w:t>
      </w:r>
    </w:p>
    <w:bookmarkStart w:id="61" w:name="gathering-ranked-variables"/>
    <w:p>
      <w:pPr>
        <w:pStyle w:val="Heading3"/>
      </w:pPr>
      <w:r>
        <w:t xml:space="preserve">- Gathering ranked variables</w:t>
      </w:r>
    </w:p>
    <w:p>
      <w:pPr>
        <w:pStyle w:val="FirstParagraph"/>
      </w:pPr>
      <w:r>
        <w:t xml:space="preserve">This step consolidates ranked variable importance results across the nine temporal bins into a single summary file for the species.</w:t>
      </w:r>
    </w:p>
    <w:p>
      <w:pPr>
        <w:pStyle w:val="SourceCode"/>
      </w:pPr>
      <w:r>
        <w:rPr>
          <w:rStyle w:val="CommentTok"/>
        </w:rPr>
        <w:t xml:space="preserve"># consolidate variable importance results across bins</w:t>
      </w:r>
      <w:r>
        <w:br/>
      </w:r>
      <w:r>
        <w:rPr>
          <w:rStyle w:val="NormalTok"/>
        </w:rPr>
        <w:t xml:space="preserve">rENM.analysis</w:t>
      </w:r>
      <w:r>
        <w:rPr>
          <w:rStyle w:val="SpecialCharTok"/>
        </w:rPr>
        <w:t xml:space="preserve">::</w:t>
      </w:r>
      <w:r>
        <w:rPr>
          <w:rStyle w:val="FunctionTok"/>
        </w:rPr>
        <w:t xml:space="preserve">gather_variable_contributions</w:t>
      </w:r>
      <w:r>
        <w:rPr>
          <w:rStyle w:val="NormalTok"/>
        </w:rPr>
        <w:t xml:space="preserve">(alpha_code)</w:t>
      </w:r>
    </w:p>
    <w:bookmarkEnd w:id="61"/>
    <w:bookmarkStart w:id="62" w:name="summarizing-variable-contributions"/>
    <w:p>
      <w:pPr>
        <w:pStyle w:val="Heading3"/>
      </w:pPr>
      <w:r>
        <w:t xml:space="preserve">- Summarizing variable contributions</w:t>
      </w:r>
    </w:p>
    <w:p>
      <w:pPr>
        <w:pStyle w:val="FirstParagraph"/>
      </w:pPr>
      <w:r>
        <w:t xml:space="preserve">This step selects the top contributing variables based on average relative importance across the time series and generates visualizations and summary statistics describing how their contributions change across temporal bins.</w:t>
      </w:r>
    </w:p>
    <w:p>
      <w:pPr>
        <w:pStyle w:val="SourceCode"/>
      </w:pPr>
      <w:r>
        <w:rPr>
          <w:rStyle w:val="CommentTok"/>
        </w:rPr>
        <w:t xml:space="preserve"># summarize variable contributions across the time series</w:t>
      </w:r>
      <w:r>
        <w:br/>
      </w:r>
      <w:r>
        <w:rPr>
          <w:rStyle w:val="NormalTok"/>
        </w:rPr>
        <w:t xml:space="preserve">rENM.analysis</w:t>
      </w:r>
      <w:r>
        <w:rPr>
          <w:rStyle w:val="SpecialCharTok"/>
        </w:rPr>
        <w:t xml:space="preserve">::</w:t>
      </w:r>
      <w:r>
        <w:rPr>
          <w:rStyle w:val="FunctionTok"/>
        </w:rPr>
        <w:t xml:space="preserve">summarize_variable_contributions</w:t>
      </w:r>
      <w:r>
        <w:rPr>
          <w:rStyle w:val="NormalTok"/>
        </w:rPr>
        <w:t xml:space="preserve">(alpha_code)</w:t>
      </w:r>
    </w:p>
    <w:bookmarkEnd w:id="62"/>
    <w:bookmarkEnd w:id="63"/>
    <w:bookmarkStart w:id="64" w:name="suitability-rate-of-change-map"/>
    <w:p>
      <w:pPr>
        <w:pStyle w:val="Heading2"/>
      </w:pPr>
      <w:r>
        <w:t xml:space="preserve">Suitability rate-of-change map</w:t>
      </w:r>
    </w:p>
    <w:p>
      <w:pPr>
        <w:pStyle w:val="FirstParagraph"/>
      </w:pPr>
      <w:r>
        <w:t xml:space="preserve">This step generates a map highlighting areas of accelerating and decelerating trends in climatic suitability across the modeled extent.</w:t>
      </w:r>
    </w:p>
    <w:p>
      <w:pPr>
        <w:pStyle w:val="SourceCode"/>
      </w:pPr>
      <w:r>
        <w:rPr>
          <w:rStyle w:val="CommentTok"/>
        </w:rPr>
        <w:t xml:space="preserve"># generate suitability acceleration/deceleration map</w:t>
      </w:r>
      <w:r>
        <w:br/>
      </w:r>
      <w:r>
        <w:rPr>
          <w:rStyle w:val="NormalTok"/>
        </w:rPr>
        <w:t xml:space="preserve">rENM.analysis</w:t>
      </w:r>
      <w:r>
        <w:rPr>
          <w:rStyle w:val="SpecialCharTok"/>
        </w:rPr>
        <w:t xml:space="preserve">::</w:t>
      </w:r>
      <w:r>
        <w:rPr>
          <w:rStyle w:val="FunctionTok"/>
        </w:rPr>
        <w:t xml:space="preserve">create_suitability_change_map</w:t>
      </w:r>
      <w:r>
        <w:rPr>
          <w:rStyle w:val="NormalTok"/>
        </w:rPr>
        <w:t xml:space="preserve">(alpha_code)</w:t>
      </w:r>
    </w:p>
    <w:bookmarkEnd w:id="64"/>
    <w:bookmarkStart w:id="65" w:name="hotspot-analysis"/>
    <w:p>
      <w:pPr>
        <w:pStyle w:val="Heading2"/>
      </w:pPr>
      <w:r>
        <w:t xml:space="preserve">Hotspot analysis</w:t>
      </w:r>
    </w:p>
    <w:p>
      <w:pPr>
        <w:pStyle w:val="FirstParagraph"/>
      </w:pPr>
      <w:r>
        <w:t xml:space="preserve">This experimental step identifies areas where climatic suitability is declining at an increasing rate and generates a map highlighting those regions within states intersecting the species’ USGS GAP range. Results should be treated as exploratory pending validation against independent field data.</w:t>
      </w:r>
    </w:p>
    <w:p>
      <w:pPr>
        <w:pStyle w:val="SourceCode"/>
      </w:pPr>
      <w:r>
        <w:rPr>
          <w:rStyle w:val="CommentTok"/>
        </w:rPr>
        <w:t xml:space="preserve"># identify and map hotspots of accelerating suitability decline</w:t>
      </w:r>
      <w:r>
        <w:br/>
      </w:r>
      <w:r>
        <w:rPr>
          <w:rStyle w:val="NormalTok"/>
        </w:rPr>
        <w:t xml:space="preserve">rENM.analysis</w:t>
      </w:r>
      <w:r>
        <w:rPr>
          <w:rStyle w:val="SpecialCharTok"/>
        </w:rPr>
        <w:t xml:space="preserve">::</w:t>
      </w:r>
      <w:r>
        <w:rPr>
          <w:rStyle w:val="FunctionTok"/>
        </w:rPr>
        <w:t xml:space="preserve">create_hot_spot_map</w:t>
      </w:r>
      <w:r>
        <w:rPr>
          <w:rStyle w:val="NormalTok"/>
        </w:rPr>
        <w:t xml:space="preserve">(alpha_code)</w:t>
      </w:r>
    </w:p>
    <w:bookmarkEnd w:id="65"/>
    <w:bookmarkEnd w:id="66"/>
    <w:bookmarkStart w:id="70" w:name="report-generation"/>
    <w:p>
      <w:pPr>
        <w:pStyle w:val="Heading1"/>
      </w:pPr>
      <w:r>
        <w:t xml:space="preserve">Report Generation</w:t>
      </w:r>
    </w:p>
    <w:p>
      <w:pPr>
        <w:pStyle w:val="FirstParagraph"/>
      </w:pPr>
      <w:r>
        <w:t xml:space="preserve">The report generation functions compile the analytical outputs produced in the previous section into structured summaries, maps, and tables. These intermediate products are consumed by the GenAI analysis step and assembled into the final report. All functions in this section depend on outputs from the time series analysis steps; all prior steps must be completed before proceeding.</w:t>
      </w:r>
    </w:p>
    <w:bookmarkStart w:id="67" w:name="suitability-results"/>
    <w:p>
      <w:pPr>
        <w:pStyle w:val="Heading2"/>
      </w:pPr>
      <w:r>
        <w:t xml:space="preserve">Suitability results</w:t>
      </w:r>
    </w:p>
    <w:p>
      <w:pPr>
        <w:pStyle w:val="SourceCode"/>
      </w:pPr>
      <w:r>
        <w:rPr>
          <w:rStyle w:val="CommentTok"/>
        </w:rPr>
        <w:t xml:space="preserve"># assemble suitability map contact sheet</w:t>
      </w:r>
      <w:r>
        <w:br/>
      </w:r>
      <w:r>
        <w:rPr>
          <w:rStyle w:val="NormalTok"/>
        </w:rPr>
        <w:t xml:space="preserve">rENM.reports</w:t>
      </w:r>
      <w:r>
        <w:rPr>
          <w:rStyle w:val="SpecialCharTok"/>
        </w:rPr>
        <w:t xml:space="preserve">::</w:t>
      </w:r>
      <w:r>
        <w:rPr>
          <w:rStyle w:val="FunctionTok"/>
        </w:rPr>
        <w:t xml:space="preserve">gather_suitability_maps</w:t>
      </w:r>
      <w:r>
        <w:rPr>
          <w:rStyle w:val="NormalTok"/>
        </w:rPr>
        <w:t xml:space="preserve">(alpha_code)</w:t>
      </w:r>
      <w:r>
        <w:br/>
      </w:r>
      <w:r>
        <w:br/>
      </w:r>
      <w:r>
        <w:rPr>
          <w:rStyle w:val="CommentTok"/>
        </w:rPr>
        <w:t xml:space="preserve"># assemble range map contact sheet</w:t>
      </w:r>
      <w:r>
        <w:br/>
      </w:r>
      <w:r>
        <w:rPr>
          <w:rStyle w:val="NormalTok"/>
        </w:rPr>
        <w:t xml:space="preserve">rENM.reports</w:t>
      </w:r>
      <w:r>
        <w:rPr>
          <w:rStyle w:val="SpecialCharTok"/>
        </w:rPr>
        <w:t xml:space="preserve">::</w:t>
      </w:r>
      <w:r>
        <w:rPr>
          <w:rStyle w:val="FunctionTok"/>
        </w:rPr>
        <w:t xml:space="preserve">gather_range_maps</w:t>
      </w:r>
      <w:r>
        <w:rPr>
          <w:rStyle w:val="NormalTok"/>
        </w:rPr>
        <w:t xml:space="preserve">(alpha_code)</w:t>
      </w:r>
      <w:r>
        <w:br/>
      </w:r>
      <w:r>
        <w:br/>
      </w:r>
      <w:r>
        <w:rPr>
          <w:rStyle w:val="CommentTok"/>
        </w:rPr>
        <w:t xml:space="preserve"># merge state-level suitability and hotspot statistics</w:t>
      </w:r>
      <w:r>
        <w:br/>
      </w:r>
      <w:r>
        <w:rPr>
          <w:rStyle w:val="NormalTok"/>
        </w:rPr>
        <w:t xml:space="preserve">rENM.reports</w:t>
      </w:r>
      <w:r>
        <w:rPr>
          <w:rStyle w:val="SpecialCharTok"/>
        </w:rPr>
        <w:t xml:space="preserve">::</w:t>
      </w:r>
      <w:r>
        <w:rPr>
          <w:rStyle w:val="FunctionTok"/>
        </w:rPr>
        <w:t xml:space="preserve">gather_suitability_trend_stats</w:t>
      </w:r>
      <w:r>
        <w:rPr>
          <w:rStyle w:val="NormalTok"/>
        </w:rPr>
        <w:t xml:space="preserve">(alpha_code)</w:t>
      </w:r>
      <w:r>
        <w:br/>
      </w:r>
      <w:r>
        <w:br/>
      </w:r>
      <w:r>
        <w:rPr>
          <w:rStyle w:val="CommentTok"/>
        </w:rPr>
        <w:t xml:space="preserve"># create state-level GAP range and hotspot summary table</w:t>
      </w:r>
      <w:r>
        <w:br/>
      </w:r>
      <w:r>
        <w:rPr>
          <w:rStyle w:val="NormalTok"/>
        </w:rPr>
        <w:t xml:space="preserve">rENM.reports</w:t>
      </w:r>
      <w:r>
        <w:rPr>
          <w:rStyle w:val="SpecialCharTok"/>
        </w:rPr>
        <w:t xml:space="preserve">::</w:t>
      </w:r>
      <w:r>
        <w:rPr>
          <w:rStyle w:val="FunctionTok"/>
        </w:rPr>
        <w:t xml:space="preserve">create_suitability_trend_summary_table</w:t>
      </w:r>
      <w:r>
        <w:rPr>
          <w:rStyle w:val="NormalTok"/>
        </w:rPr>
        <w:t xml:space="preserve">(alpha_code)</w:t>
      </w:r>
      <w:r>
        <w:br/>
      </w:r>
      <w:r>
        <w:br/>
      </w:r>
      <w:r>
        <w:rPr>
          <w:rStyle w:val="CommentTok"/>
        </w:rPr>
        <w:t xml:space="preserve"># assemble suitability time series page</w:t>
      </w:r>
      <w:r>
        <w:br/>
      </w:r>
      <w:r>
        <w:rPr>
          <w:rStyle w:val="NormalTok"/>
        </w:rPr>
        <w:t xml:space="preserve">rENM.reports</w:t>
      </w:r>
      <w:r>
        <w:rPr>
          <w:rStyle w:val="SpecialCharTok"/>
        </w:rPr>
        <w:t xml:space="preserve">::</w:t>
      </w:r>
      <w:r>
        <w:rPr>
          <w:rStyle w:val="FunctionTok"/>
        </w:rPr>
        <w:t xml:space="preserve">assemble_suitability_timeseries_page</w:t>
      </w:r>
      <w:r>
        <w:rPr>
          <w:rStyle w:val="NormalTok"/>
        </w:rPr>
        <w:t xml:space="preserve">(alpha_code)</w:t>
      </w:r>
      <w:r>
        <w:br/>
      </w:r>
      <w:r>
        <w:br/>
      </w:r>
      <w:r>
        <w:rPr>
          <w:rStyle w:val="CommentTok"/>
        </w:rPr>
        <w:t xml:space="preserve"># assemble range time series page</w:t>
      </w:r>
      <w:r>
        <w:br/>
      </w:r>
      <w:r>
        <w:rPr>
          <w:rStyle w:val="NormalTok"/>
        </w:rPr>
        <w:t xml:space="preserve">rENM.reports</w:t>
      </w:r>
      <w:r>
        <w:rPr>
          <w:rStyle w:val="SpecialCharTok"/>
        </w:rPr>
        <w:t xml:space="preserve">::</w:t>
      </w:r>
      <w:r>
        <w:rPr>
          <w:rStyle w:val="FunctionTok"/>
        </w:rPr>
        <w:t xml:space="preserve">assemble_range_timeseries_page</w:t>
      </w:r>
      <w:r>
        <w:rPr>
          <w:rStyle w:val="NormalTok"/>
        </w:rPr>
        <w:t xml:space="preserve">(alpha_code)</w:t>
      </w:r>
      <w:r>
        <w:br/>
      </w:r>
      <w:r>
        <w:br/>
      </w:r>
      <w:r>
        <w:rPr>
          <w:rStyle w:val="CommentTok"/>
        </w:rPr>
        <w:t xml:space="preserve"># assemble suitability trend and rate-of-change map page</w:t>
      </w:r>
      <w:r>
        <w:br/>
      </w:r>
      <w:r>
        <w:rPr>
          <w:rStyle w:val="NormalTok"/>
        </w:rPr>
        <w:t xml:space="preserve">rENM.reports</w:t>
      </w:r>
      <w:r>
        <w:rPr>
          <w:rStyle w:val="SpecialCharTok"/>
        </w:rPr>
        <w:t xml:space="preserve">::</w:t>
      </w:r>
      <w:r>
        <w:rPr>
          <w:rStyle w:val="FunctionTok"/>
        </w:rPr>
        <w:t xml:space="preserve">assemble_suitability_trends_page</w:t>
      </w:r>
      <w:r>
        <w:rPr>
          <w:rStyle w:val="NormalTok"/>
        </w:rPr>
        <w:t xml:space="preserve">(alpha_code)</w:t>
      </w:r>
      <w:r>
        <w:br/>
      </w:r>
      <w:r>
        <w:br/>
      </w:r>
      <w:r>
        <w:rPr>
          <w:rStyle w:val="CommentTok"/>
        </w:rPr>
        <w:t xml:space="preserve"># assemble state trend and hotspot page</w:t>
      </w:r>
      <w:r>
        <w:br/>
      </w:r>
      <w:r>
        <w:rPr>
          <w:rStyle w:val="NormalTok"/>
        </w:rPr>
        <w:t xml:space="preserve">rENM.reports</w:t>
      </w:r>
      <w:r>
        <w:rPr>
          <w:rStyle w:val="SpecialCharTok"/>
        </w:rPr>
        <w:t xml:space="preserve">::</w:t>
      </w:r>
      <w:r>
        <w:rPr>
          <w:rStyle w:val="FunctionTok"/>
        </w:rPr>
        <w:t xml:space="preserve">assemble_state_trends_page</w:t>
      </w:r>
      <w:r>
        <w:rPr>
          <w:rStyle w:val="NormalTok"/>
        </w:rPr>
        <w:t xml:space="preserve">(alpha_code)</w:t>
      </w:r>
    </w:p>
    <w:bookmarkEnd w:id="67"/>
    <w:bookmarkStart w:id="68" w:name="variable-results"/>
    <w:p>
      <w:pPr>
        <w:pStyle w:val="Heading2"/>
      </w:pPr>
      <w:r>
        <w:t xml:space="preserve">Variable results</w:t>
      </w:r>
    </w:p>
    <w:p>
      <w:pPr>
        <w:pStyle w:val="SourceCode"/>
      </w:pPr>
      <w:r>
        <w:rPr>
          <w:rStyle w:val="CommentTok"/>
        </w:rPr>
        <w:t xml:space="preserve"># create variable trend statistics summary table</w:t>
      </w:r>
      <w:r>
        <w:br/>
      </w:r>
      <w:r>
        <w:rPr>
          <w:rStyle w:val="NormalTok"/>
        </w:rPr>
        <w:t xml:space="preserve">rENM.reports</w:t>
      </w:r>
      <w:r>
        <w:rPr>
          <w:rStyle w:val="SpecialCharTok"/>
        </w:rPr>
        <w:t xml:space="preserve">::</w:t>
      </w:r>
      <w:r>
        <w:rPr>
          <w:rStyle w:val="FunctionTok"/>
        </w:rPr>
        <w:t xml:space="preserve">create_variable_trend_summary_table</w:t>
      </w:r>
      <w:r>
        <w:rPr>
          <w:rStyle w:val="NormalTok"/>
        </w:rPr>
        <w:t xml:space="preserve">(alpha_code)</w:t>
      </w:r>
      <w:r>
        <w:br/>
      </w:r>
      <w:r>
        <w:br/>
      </w:r>
      <w:r>
        <w:rPr>
          <w:rStyle w:val="CommentTok"/>
        </w:rPr>
        <w:t xml:space="preserve"># assemble variable contributions page</w:t>
      </w:r>
      <w:r>
        <w:br/>
      </w:r>
      <w:r>
        <w:rPr>
          <w:rStyle w:val="NormalTok"/>
        </w:rPr>
        <w:t xml:space="preserve">rENM.reports</w:t>
      </w:r>
      <w:r>
        <w:rPr>
          <w:rStyle w:val="SpecialCharTok"/>
        </w:rPr>
        <w:t xml:space="preserve">::</w:t>
      </w:r>
      <w:r>
        <w:rPr>
          <w:rStyle w:val="FunctionTok"/>
        </w:rPr>
        <w:t xml:space="preserve">assemble_variable_trends_page</w:t>
      </w:r>
      <w:r>
        <w:rPr>
          <w:rStyle w:val="NormalTok"/>
        </w:rPr>
        <w:t xml:space="preserve">(alpha_code)</w:t>
      </w:r>
      <w:r>
        <w:br/>
      </w:r>
      <w:r>
        <w:br/>
      </w:r>
      <w:r>
        <w:rPr>
          <w:rStyle w:val="CommentTok"/>
        </w:rPr>
        <w:t xml:space="preserve"># assemble trend and rate-of-change maps for the top variables</w:t>
      </w:r>
      <w:r>
        <w:br/>
      </w:r>
      <w:r>
        <w:rPr>
          <w:rStyle w:val="NormalTok"/>
        </w:rPr>
        <w:t xml:space="preserve">rENM.reports</w:t>
      </w:r>
      <w:r>
        <w:rPr>
          <w:rStyle w:val="SpecialCharTok"/>
        </w:rPr>
        <w:t xml:space="preserve">::</w:t>
      </w:r>
      <w:r>
        <w:rPr>
          <w:rStyle w:val="FunctionTok"/>
        </w:rPr>
        <w:t xml:space="preserve">gather_top_variable_trend_maps</w:t>
      </w:r>
      <w:r>
        <w:rPr>
          <w:rStyle w:val="NormalTok"/>
        </w:rPr>
        <w:t xml:space="preserve">(alpha_code)</w:t>
      </w:r>
      <w:r>
        <w:br/>
      </w:r>
      <w:r>
        <w:br/>
      </w:r>
      <w:r>
        <w:rPr>
          <w:rStyle w:val="CommentTok"/>
        </w:rPr>
        <w:t xml:space="preserve"># assemble variable trend map page</w:t>
      </w:r>
      <w:r>
        <w:br/>
      </w:r>
      <w:r>
        <w:rPr>
          <w:rStyle w:val="NormalTok"/>
        </w:rPr>
        <w:t xml:space="preserve">rENM.reports</w:t>
      </w:r>
      <w:r>
        <w:rPr>
          <w:rStyle w:val="SpecialCharTok"/>
        </w:rPr>
        <w:t xml:space="preserve">::</w:t>
      </w:r>
      <w:r>
        <w:rPr>
          <w:rStyle w:val="FunctionTok"/>
        </w:rPr>
        <w:t xml:space="preserve">assemble_variable_trend_maps_page</w:t>
      </w:r>
      <w:r>
        <w:rPr>
          <w:rStyle w:val="NormalTok"/>
        </w:rPr>
        <w:t xml:space="preserve">(alpha_code)</w:t>
      </w:r>
    </w:p>
    <w:bookmarkEnd w:id="68"/>
    <w:bookmarkStart w:id="69" w:name="centroid-results"/>
    <w:p>
      <w:pPr>
        <w:pStyle w:val="Heading2"/>
      </w:pPr>
      <w:r>
        <w:t xml:space="preserve">Centroid results</w:t>
      </w:r>
    </w:p>
    <w:p>
      <w:pPr>
        <w:pStyle w:val="SourceCode"/>
      </w:pPr>
      <w:r>
        <w:rPr>
          <w:rStyle w:val="CommentTok"/>
        </w:rPr>
        <w:t xml:space="preserve"># create centroid shift and regression summary table</w:t>
      </w:r>
      <w:r>
        <w:br/>
      </w:r>
      <w:r>
        <w:rPr>
          <w:rStyle w:val="NormalTok"/>
        </w:rPr>
        <w:t xml:space="preserve">rENM.reports</w:t>
      </w:r>
      <w:r>
        <w:rPr>
          <w:rStyle w:val="SpecialCharTok"/>
        </w:rPr>
        <w:t xml:space="preserve">::</w:t>
      </w:r>
      <w:r>
        <w:rPr>
          <w:rStyle w:val="FunctionTok"/>
        </w:rPr>
        <w:t xml:space="preserve">create_centroid_trend_summary_table</w:t>
      </w:r>
      <w:r>
        <w:rPr>
          <w:rStyle w:val="NormalTok"/>
        </w:rPr>
        <w:t xml:space="preserve">(alpha_code)</w:t>
      </w:r>
      <w:r>
        <w:br/>
      </w:r>
      <w:r>
        <w:br/>
      </w:r>
      <w:r>
        <w:rPr>
          <w:rStyle w:val="CommentTok"/>
        </w:rPr>
        <w:t xml:space="preserve"># assemble centroid trend map and table page</w:t>
      </w:r>
      <w:r>
        <w:br/>
      </w:r>
      <w:r>
        <w:rPr>
          <w:rStyle w:val="NormalTok"/>
        </w:rPr>
        <w:t xml:space="preserve">rENM.reports</w:t>
      </w:r>
      <w:r>
        <w:rPr>
          <w:rStyle w:val="SpecialCharTok"/>
        </w:rPr>
        <w:t xml:space="preserve">::</w:t>
      </w:r>
      <w:r>
        <w:rPr>
          <w:rStyle w:val="FunctionTok"/>
        </w:rPr>
        <w:t xml:space="preserve">assemble_centroid_trends_page</w:t>
      </w:r>
      <w:r>
        <w:rPr>
          <w:rStyle w:val="NormalTok"/>
        </w:rPr>
        <w:t xml:space="preserve">(alpha_code)</w:t>
      </w:r>
    </w:p>
    <w:bookmarkEnd w:id="69"/>
    <w:bookmarkEnd w:id="70"/>
    <w:bookmarkStart w:id="77" w:name="genai-analysis"/>
    <w:p>
      <w:pPr>
        <w:pStyle w:val="Heading1"/>
      </w:pPr>
      <w:r>
        <w:t xml:space="preserve">GenAI Analysis</w:t>
      </w:r>
    </w:p>
    <w:p>
      <w:pPr>
        <w:pStyle w:val="FirstParagraph"/>
      </w:pPr>
      <w:r>
        <w:t xml:space="preserve">This optional, experimental module uses generative AI to produce a structured interpretive narrative from the quantitative outputs of the rENM analysis pipeline. The narrative is included in the final report. Two providers are supported: Anthropic (Claude) and OpenAI (ChatGPT). Both accept the same assembled data package; the choice of provider affects interpretation style, response time, and per-run cost.</w:t>
      </w:r>
    </w:p>
    <w:bookmarkStart w:id="73" w:name="api-key-configuration"/>
    <w:p>
      <w:pPr>
        <w:pStyle w:val="Heading2"/>
      </w:pPr>
      <w:r>
        <w:t xml:space="preserve">API key configuration</w:t>
      </w:r>
    </w:p>
    <w:p>
      <w:pPr>
        <w:pStyle w:val="FirstParagraph"/>
      </w:pPr>
      <w:r>
        <w:t xml:space="preserve">Both providers require a separate API account. API usage is billed per token, independently of any web subscription. Obtain a key from each provider you intend to use and add it to your `.Renviron` file alongside the project directory entry in</w:t>
      </w:r>
      <w:r>
        <w:t xml:space="preserve"> </w:t>
      </w:r>
      <w:r>
        <w:rPr>
          <w:i/>
          <w:iCs/>
        </w:rPr>
        <w:t xml:space="preserve">Configuring the RStudio Environment</w:t>
      </w:r>
      <w:r>
        <w:t xml:space="preserve">:</w:t>
      </w:r>
    </w:p>
    <w:p>
      <w:pPr>
        <w:pStyle w:val="SourceCode"/>
      </w:pPr>
      <w:r>
        <w:rPr>
          <w:rStyle w:val="VerbatimChar"/>
        </w:rPr>
        <w:t xml:space="preserve">OPENAI_API_KEY="sk-proj-..."</w:t>
      </w:r>
      <w:r>
        <w:br/>
      </w:r>
      <w:r>
        <w:rPr>
          <w:rStyle w:val="VerbatimChar"/>
        </w:rPr>
        <w:t xml:space="preserve">ANTHROPIC_API_KEY="sk-ant-..."</w:t>
      </w:r>
      <w:r>
        <w:br/>
      </w:r>
      <w:r>
        <w:rPr>
          <w:rStyle w:val="VerbatimChar"/>
        </w:rPr>
        <w:t xml:space="preserve">RENM_PROJECT_DIR="/Users/yourname/rENM"</w:t>
      </w:r>
    </w:p>
    <w:p>
      <w:pPr>
        <w:pStyle w:val="FirstParagraph"/>
      </w:pPr>
      <w:r>
        <w:t xml:space="preserve">After editing</w:t>
      </w:r>
      <w:r>
        <w:t xml:space="preserve"> </w:t>
      </w:r>
      <w:r>
        <w:rPr>
          <w:rStyle w:val="VerbatimChar"/>
        </w:rPr>
        <w:t xml:space="preserve">.Renviron</w:t>
      </w:r>
      <w:r>
        <w:t xml:space="preserve">, restart R or run</w:t>
      </w:r>
      <w:r>
        <w:t xml:space="preserve"> </w:t>
      </w:r>
      <w:r>
        <w:rPr>
          <w:rStyle w:val="VerbatimChar"/>
        </w:rPr>
        <w:t xml:space="preserve">readRenviron("~/.Renviron")</w:t>
      </w:r>
      <w:r>
        <w:t xml:space="preserve"> </w:t>
      </w:r>
      <w:r>
        <w:t xml:space="preserve">to make the keys available in the current session. Obtain an Anthropic API key at</w:t>
      </w:r>
      <w:r>
        <w:t xml:space="preserve"> </w:t>
      </w:r>
      <w:hyperlink r:id="rId71">
        <w:r>
          <w:rPr>
            <w:rStyle w:val="Hyperlink"/>
          </w:rPr>
          <w:t xml:space="preserve">https://console.anthropic.com</w:t>
        </w:r>
      </w:hyperlink>
      <w:r>
        <w:t xml:space="preserve"> </w:t>
      </w:r>
      <w:r>
        <w:t xml:space="preserve">and an OpenAI key at</w:t>
      </w:r>
      <w:r>
        <w:t xml:space="preserve"> </w:t>
      </w:r>
      <w:hyperlink r:id="rId72">
        <w:r>
          <w:rPr>
            <w:rStyle w:val="Hyperlink"/>
          </w:rPr>
          <w:t xml:space="preserve">https://platform.openai.com</w:t>
        </w:r>
      </w:hyperlink>
      <w:r>
        <w:t xml:space="preserve">. Enter</w:t>
      </w:r>
      <w:r>
        <w:t xml:space="preserve"> </w:t>
      </w:r>
      <w:r>
        <w:rPr>
          <w:rStyle w:val="VerbatimChar"/>
        </w:rPr>
        <w:t xml:space="preserve">?submit_to_claude</w:t>
      </w:r>
      <w:r>
        <w:t xml:space="preserve"> </w:t>
      </w:r>
      <w:r>
        <w:t xml:space="preserve">or</w:t>
      </w:r>
      <w:r>
        <w:t xml:space="preserve"> </w:t>
      </w:r>
      <w:r>
        <w:rPr>
          <w:rStyle w:val="VerbatimChar"/>
        </w:rPr>
        <w:t xml:space="preserve">?submit_to_chatgpt</w:t>
      </w:r>
      <w:r>
        <w:t xml:space="preserve"> </w:t>
      </w:r>
      <w:r>
        <w:t xml:space="preserve">for current model availability and pricing guidance.</w:t>
      </w:r>
    </w:p>
    <w:bookmarkEnd w:id="73"/>
    <w:bookmarkStart w:id="74" w:name="assembling-the-ai-package"/>
    <w:p>
      <w:pPr>
        <w:pStyle w:val="Heading2"/>
      </w:pPr>
      <w:r>
        <w:t xml:space="preserve">Assembling the AI package</w:t>
      </w:r>
    </w:p>
    <w:p>
      <w:pPr>
        <w:pStyle w:val="FirstParagraph"/>
      </w:pPr>
      <w:r>
        <w:t xml:space="preserve">This step collects suitability trend rasters, summary statistics, variable contribution tables, centroid displacement metrics, and species metadata from the rENM analysis pipeline and organizes them into a data bundle with a structured analytical prompt. The bundle is staged for submission to the target provider.</w:t>
      </w:r>
    </w:p>
    <w:p>
      <w:pPr>
        <w:pStyle w:val="SourceCode"/>
      </w:pPr>
      <w:r>
        <w:rPr>
          <w:rStyle w:val="CommentTok"/>
        </w:rPr>
        <w:t xml:space="preserve"># assemble AI-ready data bundle</w:t>
      </w:r>
      <w:r>
        <w:br/>
      </w:r>
      <w:r>
        <w:rPr>
          <w:rStyle w:val="NormalTok"/>
        </w:rPr>
        <w:t xml:space="preserve">rENM.ai</w:t>
      </w:r>
      <w:r>
        <w:rPr>
          <w:rStyle w:val="SpecialCharTok"/>
        </w:rPr>
        <w:t xml:space="preserve">::</w:t>
      </w:r>
      <w:r>
        <w:rPr>
          <w:rStyle w:val="FunctionTok"/>
        </w:rPr>
        <w:t xml:space="preserve">assemble_ai_package</w:t>
      </w:r>
      <w:r>
        <w:rPr>
          <w:rStyle w:val="NormalTok"/>
        </w:rPr>
        <w:t xml:space="preserve">(alpha_code)</w:t>
      </w:r>
    </w:p>
    <w:bookmarkEnd w:id="74"/>
    <w:bookmarkStart w:id="75" w:name="submitting-to-a-provider"/>
    <w:p>
      <w:pPr>
        <w:pStyle w:val="Heading2"/>
      </w:pPr>
      <w:r>
        <w:t xml:space="preserve">Submitting to a provider</w:t>
      </w:r>
    </w:p>
    <w:p>
      <w:pPr>
        <w:pStyle w:val="FirstParagraph"/>
      </w:pPr>
      <w:r>
        <w:t xml:space="preserve">Submit the assembled package to your preferred provider. Choose one and comment out the other.</w:t>
      </w:r>
    </w:p>
    <w:p>
      <w:pPr>
        <w:pStyle w:val="SourceCode"/>
      </w:pPr>
      <w:r>
        <w:rPr>
          <w:rStyle w:val="CommentTok"/>
        </w:rPr>
        <w:t xml:space="preserve"># submit to Anthropic (Claude)</w:t>
      </w:r>
      <w:r>
        <w:br/>
      </w:r>
      <w:r>
        <w:rPr>
          <w:rStyle w:val="NormalTok"/>
        </w:rPr>
        <w:t xml:space="preserve">rENM.ai</w:t>
      </w:r>
      <w:r>
        <w:rPr>
          <w:rStyle w:val="SpecialCharTok"/>
        </w:rPr>
        <w:t xml:space="preserve">::</w:t>
      </w:r>
      <w:r>
        <w:rPr>
          <w:rStyle w:val="FunctionTok"/>
        </w:rPr>
        <w:t xml:space="preserve">submit_to_claude</w:t>
      </w:r>
      <w:r>
        <w:rPr>
          <w:rStyle w:val="NormalTok"/>
        </w:rPr>
        <w:t xml:space="preserve">(alpha_code)</w:t>
      </w:r>
      <w:r>
        <w:br/>
      </w:r>
      <w:r>
        <w:br/>
      </w:r>
      <w:r>
        <w:rPr>
          <w:rStyle w:val="CommentTok"/>
        </w:rPr>
        <w:t xml:space="preserve"># submit to OpenAI (ChatGPT)</w:t>
      </w:r>
      <w:r>
        <w:br/>
      </w:r>
      <w:r>
        <w:rPr>
          <w:rStyle w:val="CommentTok"/>
        </w:rPr>
        <w:t xml:space="preserve"># rENM.ai::submit_to_chatgpt(alpha_code)</w:t>
      </w:r>
    </w:p>
    <w:p>
      <w:pPr>
        <w:pStyle w:val="FirstParagraph"/>
      </w:pPr>
      <w:r>
        <w:t xml:space="preserve">If</w:t>
      </w:r>
      <w:r>
        <w:t xml:space="preserve"> </w:t>
      </w:r>
      <w:r>
        <w:rPr>
          <w:rStyle w:val="VerbatimChar"/>
        </w:rPr>
        <w:t xml:space="preserve">submit_to_claude()</w:t>
      </w:r>
      <w:r>
        <w:t xml:space="preserve"> </w:t>
      </w:r>
      <w:r>
        <w:t xml:space="preserve">fails or returns an unexpected result, use the diagnostic helper to inspect the response:</w:t>
      </w:r>
    </w:p>
    <w:p>
      <w:pPr>
        <w:pStyle w:val="SourceCode"/>
      </w:pPr>
      <w:r>
        <w:rPr>
          <w:rStyle w:val="CommentTok"/>
        </w:rPr>
        <w:t xml:space="preserve"># diagnose a failed submit_to_claude() response</w:t>
      </w:r>
      <w:r>
        <w:br/>
      </w:r>
      <w:r>
        <w:rPr>
          <w:rStyle w:val="NormalTok"/>
        </w:rPr>
        <w:t xml:space="preserve">rENM.ai</w:t>
      </w:r>
      <w:r>
        <w:rPr>
          <w:rStyle w:val="SpecialCharTok"/>
        </w:rPr>
        <w:t xml:space="preserve">::</w:t>
      </w:r>
      <w:r>
        <w:rPr>
          <w:rStyle w:val="FunctionTok"/>
        </w:rPr>
        <w:t xml:space="preserve">submit_to_claude_diag</w:t>
      </w:r>
      <w:r>
        <w:rPr>
          <w:rStyle w:val="NormalTok"/>
        </w:rPr>
        <w:t xml:space="preserve">(alpha_code)</w:t>
      </w:r>
    </w:p>
    <w:bookmarkEnd w:id="75"/>
    <w:bookmarkStart w:id="76" w:name="rendering-the-ai-report"/>
    <w:p>
      <w:pPr>
        <w:pStyle w:val="Heading2"/>
      </w:pPr>
      <w:r>
        <w:t xml:space="preserve">Rendering the AI report</w:t>
      </w:r>
    </w:p>
    <w:p>
      <w:pPr>
        <w:pStyle w:val="FirstParagraph"/>
      </w:pPr>
      <w:r>
        <w:t xml:space="preserve">This step converts the DOCX report returned by the provider to PDF via LibreOffice for inclusion in the final report. LibreOffice must be installed before running this function (see</w:t>
      </w:r>
      <w:r>
        <w:t xml:space="preserve"> </w:t>
      </w:r>
      <w:r>
        <w:rPr>
          <w:i/>
          <w:iCs/>
        </w:rPr>
        <w:t xml:space="preserve">System Requirements</w:t>
      </w:r>
      <w:r>
        <w:t xml:space="preserve">).</w:t>
      </w:r>
    </w:p>
    <w:p>
      <w:pPr>
        <w:pStyle w:val="SourceCode"/>
      </w:pPr>
      <w:r>
        <w:rPr>
          <w:rStyle w:val="CommentTok"/>
        </w:rPr>
        <w:t xml:space="preserve"># convert AI-generated DOCX report to PDF</w:t>
      </w:r>
      <w:r>
        <w:br/>
      </w:r>
      <w:r>
        <w:rPr>
          <w:rStyle w:val="NormalTok"/>
        </w:rPr>
        <w:t xml:space="preserve">rENM.ai</w:t>
      </w:r>
      <w:r>
        <w:rPr>
          <w:rStyle w:val="SpecialCharTok"/>
        </w:rPr>
        <w:t xml:space="preserve">::</w:t>
      </w:r>
      <w:r>
        <w:rPr>
          <w:rStyle w:val="FunctionTok"/>
        </w:rPr>
        <w:t xml:space="preserve">render_ai_docx</w:t>
      </w:r>
      <w:r>
        <w:rPr>
          <w:rStyle w:val="NormalTok"/>
        </w:rPr>
        <w:t xml:space="preserve">(alpha_code)</w:t>
      </w:r>
    </w:p>
    <w:p>
      <w:pPr>
        <w:pStyle w:val="FirstParagraph"/>
      </w:pPr>
      <w:r>
        <w:t xml:space="preserve">The AI-generated narrative is intended as a preliminary interpretation to support expert review. It should not be treated as a validated ecological conclusion.</w:t>
      </w:r>
    </w:p>
    <w:bookmarkEnd w:id="76"/>
    <w:bookmarkEnd w:id="77"/>
    <w:bookmarkStart w:id="78" w:name="assembling-the-final-report"/>
    <w:p>
      <w:pPr>
        <w:pStyle w:val="Heading1"/>
      </w:pPr>
      <w:r>
        <w:t xml:space="preserve">Assembling the final report</w:t>
      </w:r>
    </w:p>
    <w:p>
      <w:pPr>
        <w:pStyle w:val="FirstParagraph"/>
      </w:pPr>
      <w:r>
        <w:t xml:space="preserve">The</w:t>
      </w:r>
      <w:r>
        <w:t xml:space="preserve"> </w:t>
      </w:r>
      <w:r>
        <w:rPr>
          <w:rStyle w:val="VerbatimChar"/>
        </w:rPr>
        <w:t xml:space="preserve">assemble_final_report()</w:t>
      </w:r>
      <w:r>
        <w:t xml:space="preserve"> </w:t>
      </w:r>
      <w:r>
        <w:t xml:space="preserve">function combines the individual summary pages produced by the report generation and GenAI analysis steps into a single paginated PDF document. It is the final step in the rENM workflow.</w:t>
      </w:r>
    </w:p>
    <w:p>
      <w:pPr>
        <w:pStyle w:val="SourceCode"/>
      </w:pPr>
      <w:r>
        <w:rPr>
          <w:rStyle w:val="CommentTok"/>
        </w:rPr>
        <w:t xml:space="preserve"># assemble all summary pages into a final paginated PDF report</w:t>
      </w:r>
      <w:r>
        <w:br/>
      </w:r>
      <w:r>
        <w:rPr>
          <w:rStyle w:val="NormalTok"/>
        </w:rPr>
        <w:t xml:space="preserve">rENM.reports</w:t>
      </w:r>
      <w:r>
        <w:rPr>
          <w:rStyle w:val="SpecialCharTok"/>
        </w:rPr>
        <w:t xml:space="preserve">::</w:t>
      </w:r>
      <w:r>
        <w:rPr>
          <w:rStyle w:val="FunctionTok"/>
        </w:rPr>
        <w:t xml:space="preserve">assemble_final_report</w:t>
      </w:r>
      <w:r>
        <w:rPr>
          <w:rStyle w:val="NormalTok"/>
        </w:rPr>
        <w:t xml:space="preserve">(alpha_code)</w:t>
      </w:r>
    </w:p>
    <w:p>
      <w:pPr>
        <w:pStyle w:val="FirstParagraph"/>
      </w:pPr>
      <w:r>
        <w:t xml:space="preserve">By default,</w:t>
      </w:r>
      <w:r>
        <w:t xml:space="preserve"> </w:t>
      </w:r>
      <w:r>
        <w:rPr>
          <w:rStyle w:val="VerbatimChar"/>
        </w:rPr>
        <w:t xml:space="preserve">assemble_final_report()</w:t>
      </w:r>
      <w:r>
        <w:t xml:space="preserve"> </w:t>
      </w:r>
      <w:r>
        <w:t xml:space="preserve">includes all pages produced by the workflow in their standard order. You can pass an explicit</w:t>
      </w:r>
      <w:r>
        <w:t xml:space="preserve"> </w:t>
      </w:r>
      <w:r>
        <w:rPr>
          <w:rStyle w:val="VerbatimChar"/>
        </w:rPr>
        <w:t xml:space="preserve">pages</w:t>
      </w:r>
      <w:r>
        <w:t xml:space="preserve"> </w:t>
      </w:r>
      <w:r>
        <w:t xml:space="preserve">argument to include a subset of pages or to change their order. Available page names are shown in the commented example above.</w:t>
      </w:r>
    </w:p>
    <w:p>
      <w:pPr>
        <w:pStyle w:val="SourceCode"/>
      </w:pPr>
      <w:r>
        <w:rPr>
          <w:rStyle w:val="CommentTok"/>
        </w:rPr>
        <w:t xml:space="preserve"># assemble a custom selection of pages</w:t>
      </w:r>
      <w:r>
        <w:br/>
      </w:r>
      <w:r>
        <w:rPr>
          <w:rStyle w:val="CommentTok"/>
        </w:rPr>
        <w:t xml:space="preserve"># rENM.reports::assemble_final_report(alpha_code, </w:t>
      </w:r>
      <w:r>
        <w:br/>
      </w:r>
      <w:r>
        <w:rPr>
          <w:rStyle w:val="CommentTok"/>
        </w:rPr>
        <w:t xml:space="preserve">#                                     pages = c("Suitability-Trend-Analysis",</w:t>
      </w:r>
      <w:r>
        <w:br/>
      </w:r>
      <w:r>
        <w:rPr>
          <w:rStyle w:val="CommentTok"/>
        </w:rPr>
        <w:t xml:space="preserve">#                                               "Suitability-TimeSeries",</w:t>
      </w:r>
      <w:r>
        <w:br/>
      </w:r>
      <w:r>
        <w:rPr>
          <w:rStyle w:val="CommentTok"/>
        </w:rPr>
        <w:t xml:space="preserve">#                                               "Range-TimeSeries",</w:t>
      </w:r>
      <w:r>
        <w:br/>
      </w:r>
      <w:r>
        <w:rPr>
          <w:rStyle w:val="CommentTok"/>
        </w:rPr>
        <w:t xml:space="preserve">#                                               "Suitability-Trends",</w:t>
      </w:r>
      <w:r>
        <w:br/>
      </w:r>
      <w:r>
        <w:rPr>
          <w:rStyle w:val="CommentTok"/>
        </w:rPr>
        <w:t xml:space="preserve">#                                               "State-Trends",</w:t>
      </w:r>
      <w:r>
        <w:br/>
      </w:r>
      <w:r>
        <w:rPr>
          <w:rStyle w:val="CommentTok"/>
        </w:rPr>
        <w:t xml:space="preserve">#                                               "Centroid-Trends",</w:t>
      </w:r>
      <w:r>
        <w:br/>
      </w:r>
      <w:r>
        <w:rPr>
          <w:rStyle w:val="CommentTok"/>
        </w:rPr>
        <w:t xml:space="preserve">#                                               "Variable-Trends",</w:t>
      </w:r>
      <w:r>
        <w:br/>
      </w:r>
      <w:r>
        <w:rPr>
          <w:rStyle w:val="CommentTok"/>
        </w:rPr>
        <w:t xml:space="preserve">#                                               "Variable-Trend-Maps1",</w:t>
      </w:r>
      <w:r>
        <w:br/>
      </w:r>
      <w:r>
        <w:rPr>
          <w:rStyle w:val="CommentTok"/>
        </w:rPr>
        <w:t xml:space="preserve">#                                               "Variable-Trend-Maps2"))</w:t>
      </w:r>
    </w:p>
    <w:bookmarkEnd w:id="78"/>
    <w:bookmarkStart w:id="88" w:name="extending-the-framework"/>
    <w:p>
      <w:pPr>
        <w:pStyle w:val="Heading1"/>
      </w:pPr>
      <w:r>
        <w:t xml:space="preserve">Extending the Framework</w:t>
      </w:r>
    </w:p>
    <w:bookmarkStart w:id="79" w:name="installing-the-extended-dataset"/>
    <w:p>
      <w:pPr>
        <w:pStyle w:val="Heading2"/>
      </w:pPr>
      <w:r>
        <w:t xml:space="preserve">Installing the extended dataset</w:t>
      </w:r>
    </w:p>
    <w:p>
      <w:pPr>
        <w:pStyle w:val="FirstParagraph"/>
      </w:pPr>
      <w:r>
        <w:t xml:space="preserve">The rENM Framework also provides an extended dataset that includes eBird occurrence records for 18 North American bird species, the complete set of MERRA-2 and MERRAclim-2 environmental predictor variables for nine five-year bins spanning 1980–2020, long-term trend and rate-of-change maps for all variables, USGS GAP range shapefiles for the additional species, and pipeline metadata files. The part files total approximately 30 GB and unzip to 73.1 GB. Make sure sufficient disk space is available before starting the download.</w:t>
      </w:r>
    </w:p>
    <w:p>
      <w:pPr>
        <w:pStyle w:val="BodyText"/>
      </w:pPr>
      <w:r>
        <w:t xml:space="preserve">Make sure your current working directory is the project directory, then run the following commands from a terminal window:</w:t>
      </w:r>
    </w:p>
    <w:p>
      <w:pPr>
        <w:pStyle w:val="SourceCode"/>
      </w:pPr>
      <w:r>
        <w:rPr>
          <w:rStyle w:val="CommentTok"/>
        </w:rPr>
        <w:t xml:space="preserve">#!/usr/bin/env bash</w:t>
      </w:r>
      <w:r>
        <w:br/>
      </w:r>
      <w:r>
        <w:br/>
      </w:r>
      <w:r>
        <w:rPr>
          <w:rStyle w:val="CommentTok"/>
        </w:rPr>
        <w:t xml:space="preserve"># set project directory name </w:t>
      </w:r>
      <w:r>
        <w:br/>
      </w:r>
      <w:r>
        <w:rPr>
          <w:rStyle w:val="VariableTok"/>
        </w:rPr>
        <w:t xml:space="preserve">PROJECT_DIRECTORY</w:t>
      </w:r>
      <w:r>
        <w:rPr>
          <w:rStyle w:val="OperatorTok"/>
        </w:rPr>
        <w:t xml:space="preserve">=</w:t>
      </w:r>
      <w:r>
        <w:rPr>
          <w:rStyle w:val="StringTok"/>
        </w:rPr>
        <w:t xml:space="preserve">"</w:t>
      </w:r>
      <w:r>
        <w:rPr>
          <w:rStyle w:val="VariableTok"/>
        </w:rPr>
        <w:t xml:space="preserve">$HOME</w:t>
      </w:r>
      <w:r>
        <w:rPr>
          <w:rStyle w:val="StringTok"/>
        </w:rPr>
        <w:t xml:space="preserve">/rENMtest"</w:t>
      </w:r>
      <w:r>
        <w:br/>
      </w:r>
      <w:r>
        <w:rPr>
          <w:rStyle w:val="BuiltInTok"/>
        </w:rPr>
        <w:t xml:space="preserve">cd</w:t>
      </w:r>
      <w:r>
        <w:rPr>
          <w:rStyle w:val="NormalTok"/>
        </w:rPr>
        <w:t xml:space="preserve"> </w:t>
      </w:r>
      <w:r>
        <w:rPr>
          <w:rStyle w:val="StringTok"/>
        </w:rPr>
        <w:t xml:space="preserve">"</w:t>
      </w:r>
      <w:r>
        <w:rPr>
          <w:rStyle w:val="VariableTok"/>
        </w:rPr>
        <w:t xml:space="preserve">${PROJECT_DIRECTORY}</w:t>
      </w:r>
      <w:r>
        <w:rPr>
          <w:rStyle w:val="StringTok"/>
        </w:rPr>
        <w:t xml:space="preserve">"</w:t>
      </w:r>
      <w:r>
        <w:br/>
      </w:r>
      <w:r>
        <w:br/>
      </w:r>
      <w:r>
        <w:rPr>
          <w:rStyle w:val="CommentTok"/>
        </w:rPr>
        <w:t xml:space="preserve"># download extended dataset part files</w:t>
      </w:r>
      <w:r>
        <w:br/>
      </w:r>
      <w:r>
        <w:rPr>
          <w:rStyle w:val="VariableTok"/>
        </w:rPr>
        <w:t xml:space="preserve">BASE_URL</w:t>
      </w:r>
      <w:r>
        <w:rPr>
          <w:rStyle w:val="OperatorTok"/>
        </w:rPr>
        <w:t xml:space="preserve">=</w:t>
      </w:r>
      <w:r>
        <w:rPr>
          <w:rStyle w:val="StringTok"/>
        </w:rPr>
        <w:t xml:space="preserve">"https://zenodo.org/records/20765324/files"</w:t>
      </w:r>
      <w:r>
        <w:br/>
      </w:r>
      <w:r>
        <w:rPr>
          <w:rStyle w:val="ControlFlowTok"/>
        </w:rPr>
        <w:t xml:space="preserve">for</w:t>
      </w:r>
      <w:r>
        <w:rPr>
          <w:rStyle w:val="NormalTok"/>
        </w:rPr>
        <w:t xml:space="preserve"> part </w:t>
      </w:r>
      <w:r>
        <w:rPr>
          <w:rStyle w:val="KeywordTok"/>
        </w:rPr>
        <w:t xml:space="preserve">in</w:t>
      </w:r>
      <w:r>
        <w:rPr>
          <w:rStyle w:val="NormalTok"/>
        </w:rPr>
        <w:t xml:space="preserve"> aa ab ac ad</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w:t>
      </w:r>
      <w:r>
        <w:rPr>
          <w:rStyle w:val="StringTok"/>
        </w:rPr>
        <w:t xml:space="preserve">"rENM-Framework-v0.1.0-extended-data.zip.part-</w:t>
      </w:r>
      <w:r>
        <w:rPr>
          <w:rStyle w:val="VariableTok"/>
        </w:rPr>
        <w:t xml:space="preserve">${part}</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${BASE_URL}</w:t>
      </w:r>
      <w:r>
        <w:rPr>
          <w:rStyle w:val="StringTok"/>
        </w:rPr>
        <w:t xml:space="preserve">/rENM-Framework-v0.1.0-extended-data.zip.part-</w:t>
      </w:r>
      <w:r>
        <w:rPr>
          <w:rStyle w:val="VariableTok"/>
        </w:rPr>
        <w:t xml:space="preserve">${part}</w:t>
      </w:r>
      <w:r>
        <w:rPr>
          <w:rStyle w:val="StringTok"/>
        </w:rPr>
        <w:t xml:space="preserve">"</w:t>
      </w:r>
      <w:r>
        <w:br/>
      </w:r>
      <w:r>
        <w:rPr>
          <w:rStyle w:val="ControlFlowTok"/>
        </w:rPr>
        <w:t xml:space="preserve">done</w:t>
      </w:r>
      <w:r>
        <w:br/>
      </w:r>
      <w:r>
        <w:br/>
      </w:r>
      <w:r>
        <w:rPr>
          <w:rStyle w:val="CommentTok"/>
        </w:rPr>
        <w:t xml:space="preserve"># reassemble and unzip</w:t>
      </w:r>
      <w:r>
        <w:br/>
      </w:r>
      <w:r>
        <w:rPr>
          <w:rStyle w:val="FunctionTok"/>
        </w:rPr>
        <w:t xml:space="preserve">cat</w:t>
      </w:r>
      <w:r>
        <w:rPr>
          <w:rStyle w:val="NormalTok"/>
        </w:rPr>
        <w:t xml:space="preserve"> rENM-Framework-v0.1.0-extended-data.zip.part-</w:t>
      </w:r>
      <w:r>
        <w:rPr>
          <w:rStyle w:val="PreprocessorTok"/>
        </w:rPr>
        <w:t xml:space="preserve">*</w:t>
      </w:r>
      <w:r>
        <w:rPr>
          <w:rStyle w:val="NormalTok"/>
        </w:rPr>
        <w:t xml:space="preserve"> </w:t>
      </w:r>
      <w:r>
        <w:rPr>
          <w:rStyle w:val="OperatorTok"/>
        </w:rPr>
        <w:t xml:space="preserve">&gt;</w:t>
      </w:r>
      <w:r>
        <w:rPr>
          <w:rStyle w:val="NormalTok"/>
        </w:rPr>
        <w:t xml:space="preserve"> rENM-Framework-v0.1.0-extended-data.zip</w:t>
      </w:r>
      <w:r>
        <w:br/>
      </w:r>
      <w:r>
        <w:rPr>
          <w:rStyle w:val="FunctionTok"/>
        </w:rPr>
        <w:t xml:space="preserve">unzip</w:t>
      </w:r>
      <w:r>
        <w:rPr>
          <w:rStyle w:val="NormalTok"/>
        </w:rPr>
        <w:t xml:space="preserve"> </w:t>
      </w:r>
      <w:r>
        <w:rPr>
          <w:rStyle w:val="AttributeTok"/>
        </w:rPr>
        <w:t xml:space="preserve">-o</w:t>
      </w:r>
      <w:r>
        <w:rPr>
          <w:rStyle w:val="NormalTok"/>
        </w:rPr>
        <w:t xml:space="preserve"> rENM-Framework-v0.1.0-extended-data.zip</w:t>
      </w:r>
      <w:r>
        <w:br/>
      </w:r>
      <w:r>
        <w:br/>
      </w:r>
      <w:r>
        <w:rPr>
          <w:rStyle w:val="CommentTok"/>
        </w:rPr>
        <w:t xml:space="preserve"># update symbolic link</w:t>
      </w:r>
      <w:r>
        <w:br/>
      </w:r>
      <w:r>
        <w:rPr>
          <w:rStyle w:val="FunctionTok"/>
        </w:rPr>
        <w:t xml:space="preserve">ln</w:t>
      </w:r>
      <w:r>
        <w:rPr>
          <w:rStyle w:val="NormalTok"/>
        </w:rPr>
        <w:t xml:space="preserve"> </w:t>
      </w:r>
      <w:r>
        <w:rPr>
          <w:rStyle w:val="AttributeTok"/>
        </w:rPr>
        <w:t xml:space="preserve">-sfn</w:t>
      </w:r>
      <w:r>
        <w:rPr>
          <w:rStyle w:val="NormalTok"/>
        </w:rPr>
        <w:t xml:space="preserve"> rENM-Framework-v0.1.0-extended-data data</w:t>
      </w:r>
      <w:r>
        <w:br/>
      </w:r>
      <w:r>
        <w:br/>
      </w:r>
      <w:r>
        <w:rPr>
          <w:rStyle w:val="CommentTok"/>
        </w:rPr>
        <w:t xml:space="preserve"># clean up</w:t>
      </w:r>
      <w:r>
        <w:br/>
      </w:r>
      <w:r>
        <w:rPr>
          <w:rStyle w:val="FunctionTok"/>
        </w:rPr>
        <w:t xml:space="preserve">rm</w:t>
      </w:r>
      <w:r>
        <w:rPr>
          <w:rStyle w:val="NormalTok"/>
        </w:rPr>
        <w:t xml:space="preserve"> </w:t>
      </w:r>
      <w:r>
        <w:rPr>
          <w:rStyle w:val="AttributeTok"/>
        </w:rPr>
        <w:t xml:space="preserve">-f</w:t>
      </w:r>
      <w:r>
        <w:rPr>
          <w:rStyle w:val="NormalTok"/>
        </w:rPr>
        <w:t xml:space="preserve"> rENM-Framework-v0.1.0-extended-data.zip.part-</w:t>
      </w:r>
      <w:r>
        <w:rPr>
          <w:rStyle w:val="PreprocessorTok"/>
        </w:rPr>
        <w:t xml:space="preserve">*</w:t>
      </w:r>
      <w:r>
        <w:br/>
      </w:r>
      <w:r>
        <w:rPr>
          <w:rStyle w:val="FunctionTok"/>
        </w:rPr>
        <w:t xml:space="preserve">rm</w:t>
      </w:r>
      <w:r>
        <w:rPr>
          <w:rStyle w:val="NormalTok"/>
        </w:rPr>
        <w:t xml:space="preserve"> </w:t>
      </w:r>
      <w:r>
        <w:rPr>
          <w:rStyle w:val="AttributeTok"/>
        </w:rPr>
        <w:t xml:space="preserve">-f</w:t>
      </w:r>
      <w:r>
        <w:rPr>
          <w:rStyle w:val="NormalTok"/>
        </w:rPr>
        <w:t xml:space="preserve"> rENM-Framework-v0.1.0-extended-data.zip</w:t>
      </w:r>
      <w:r>
        <w:br/>
      </w:r>
      <w:r>
        <w:rPr>
          <w:rStyle w:val="FunctionTok"/>
        </w:rPr>
        <w:t xml:space="preserve">rm</w:t>
      </w:r>
      <w:r>
        <w:rPr>
          <w:rStyle w:val="NormalTok"/>
        </w:rPr>
        <w:t xml:space="preserve"> </w:t>
      </w:r>
      <w:r>
        <w:rPr>
          <w:rStyle w:val="AttributeTok"/>
        </w:rPr>
        <w:t xml:space="preserve">-rf</w:t>
      </w:r>
      <w:r>
        <w:rPr>
          <w:rStyle w:val="NormalTok"/>
        </w:rPr>
        <w:t xml:space="preserve"> __MACOSX</w:t>
      </w:r>
    </w:p>
    <w:p>
      <w:pPr>
        <w:pStyle w:val="FirstParagraph"/>
      </w:pPr>
      <w:r>
        <w:t xml:space="preserve">The</w:t>
      </w:r>
      <w:r>
        <w:t xml:space="preserve"> </w:t>
      </w:r>
      <w:r>
        <w:rPr>
          <w:rStyle w:val="VerbatimChar"/>
        </w:rPr>
        <w:t xml:space="preserve">ln -sfn</w:t>
      </w:r>
      <w:r>
        <w:t xml:space="preserve"> </w:t>
      </w:r>
      <w:r>
        <w:t xml:space="preserve">command updates the</w:t>
      </w:r>
      <w:r>
        <w:t xml:space="preserve"> </w:t>
      </w:r>
      <w:r>
        <w:rPr>
          <w:rStyle w:val="VerbatimChar"/>
        </w:rPr>
        <w:t xml:space="preserve">data</w:t>
      </w:r>
      <w:r>
        <w:t xml:space="preserve"> </w:t>
      </w:r>
      <w:r>
        <w:t xml:space="preserve">symbolic link to point to the extended dataset. After this step, all framework operations will use the extended dataset automatically.</w:t>
      </w:r>
    </w:p>
    <w:bookmarkEnd w:id="79"/>
    <w:bookmarkStart w:id="86" w:name="adding-new-species"/>
    <w:p>
      <w:pPr>
        <w:pStyle w:val="Heading2"/>
      </w:pPr>
      <w:r>
        <w:t xml:space="preserve">Adding new species</w:t>
      </w:r>
    </w:p>
    <w:p>
      <w:pPr>
        <w:pStyle w:val="FirstParagraph"/>
      </w:pPr>
      <w:r>
        <w:t xml:space="preserve">Three things are required to add a new species to the rENM Framework: an eBird Basic Dataset file for the species, a USGS GAP range shapefile for the species, and an entry in the species registry. The example dataset provides a useful template for all three; examine the</w:t>
      </w:r>
      <w:r>
        <w:t xml:space="preserve"> </w:t>
      </w:r>
      <w:r>
        <w:rPr>
          <w:rStyle w:val="VerbatimChar"/>
        </w:rPr>
        <w:t xml:space="preserve">rENM-Framework-v0.1.0-example-data/</w:t>
      </w:r>
      <w:r>
        <w:t xml:space="preserve"> </w:t>
      </w:r>
      <w:r>
        <w:t xml:space="preserve">directory structure before proceeding.</w:t>
      </w:r>
    </w:p>
    <w:bookmarkStart w:id="81" w:name="downloading-an-ebird-basic-dataset-file"/>
    <w:p>
      <w:pPr>
        <w:pStyle w:val="Heading3"/>
      </w:pPr>
      <w:r>
        <w:t xml:space="preserve">- Downloading an eBird Basic Dataset file</w:t>
      </w:r>
    </w:p>
    <w:p>
      <w:pPr>
        <w:pStyle w:val="FirstParagraph"/>
      </w:pPr>
      <w:r>
        <w:t xml:space="preserve">eBird Basic Dataset (EBD) files are available by direct download from the Cornell Lab of Ornithology at</w:t>
      </w:r>
      <w:r>
        <w:t xml:space="preserve"> </w:t>
      </w:r>
      <w:hyperlink r:id="rId80">
        <w:r>
          <w:rPr>
            <w:rStyle w:val="Hyperlink"/>
          </w:rPr>
          <w:t xml:space="preserve">https://science.ebird.org/en/use-ebird-data/download-ebird-data-products</w:t>
        </w:r>
      </w:hyperlink>
      <w:r>
        <w:t xml:space="preserve">. You must be logged in to submit a data request. The EBD is updated monthly on the fifteenth of each month.</w:t>
      </w:r>
    </w:p>
    <w:p>
      <w:pPr>
        <w:pStyle w:val="BodyText"/>
      </w:pPr>
      <w:r>
        <w:t xml:space="preserve">Once your request is approved and the download is available, unzip the downloaded folder and place it in your project’s</w:t>
      </w:r>
      <w:r>
        <w:t xml:space="preserve"> </w:t>
      </w:r>
      <w:r>
        <w:rPr>
          <w:rStyle w:val="VerbatimChar"/>
        </w:rPr>
        <w:t xml:space="preserve">data/ebird/</w:t>
      </w:r>
      <w:r>
        <w:t xml:space="preserve"> </w:t>
      </w:r>
      <w:r>
        <w:t xml:space="preserve">directory. The folder name will follow the form:</w:t>
      </w:r>
    </w:p>
    <w:p>
      <w:pPr>
        <w:pStyle w:val="SourceCode"/>
      </w:pPr>
      <w:r>
        <w:rPr>
          <w:rStyle w:val="VerbatimChar"/>
        </w:rPr>
        <w:t xml:space="preserve">&lt;project_directory&gt;/data/ebird/ebd_greroa_relJul-2025</w:t>
      </w:r>
    </w:p>
    <w:bookmarkEnd w:id="81"/>
    <w:bookmarkStart w:id="84" w:name="downloading-a-usgs-gap-range-shapefile"/>
    <w:p>
      <w:pPr>
        <w:pStyle w:val="Heading3"/>
      </w:pPr>
      <w:r>
        <w:t xml:space="preserve">- Downloading a USGS GAP range shapefile</w:t>
      </w:r>
    </w:p>
    <w:p>
      <w:pPr>
        <w:pStyle w:val="FirstParagraph"/>
      </w:pPr>
      <w:r>
        <w:t xml:space="preserve">USGS GAP range shapefiles for CONUS species are available from the U.S. Geological Survey Gap Analysis Project at:</w:t>
      </w:r>
      <w:r>
        <w:t xml:space="preserve"> </w:t>
      </w:r>
      <w:hyperlink r:id="rId82">
        <w:r>
          <w:rPr>
            <w:rStyle w:val="Hyperlink"/>
          </w:rPr>
          <w:t xml:space="preserve">https://www.usgs.gov/data/us-geological-survey-gap-analysis-project-species-range-maps-conus2001</w:t>
        </w:r>
      </w:hyperlink>
    </w:p>
    <w:p>
      <w:pPr>
        <w:pStyle w:val="BodyText"/>
      </w:pPr>
      <w:r>
        <w:t xml:space="preserve">or directly from ScienceBase at:</w:t>
      </w:r>
      <w:r>
        <w:t xml:space="preserve"> </w:t>
      </w:r>
      <w:hyperlink r:id="rId83">
        <w:r>
          <w:rPr>
            <w:rStyle w:val="Hyperlink"/>
          </w:rPr>
          <w:t xml:space="preserve">https://www.sciencebase.gov/catalog/item/5951527de4b062508e3b1e79</w:t>
        </w:r>
      </w:hyperlink>
    </w:p>
    <w:p>
      <w:pPr>
        <w:pStyle w:val="BodyText"/>
      </w:pPr>
      <w:r>
        <w:t xml:space="preserve">Unzip the downloaded file and place the resulting folder in your project’s</w:t>
      </w:r>
      <w:r>
        <w:t xml:space="preserve"> </w:t>
      </w:r>
      <w:r>
        <w:rPr>
          <w:rStyle w:val="VerbatimChar"/>
        </w:rPr>
        <w:t xml:space="preserve">data/shapefiles/</w:t>
      </w:r>
      <w:r>
        <w:t xml:space="preserve"> </w:t>
      </w:r>
      <w:r>
        <w:t xml:space="preserve">directory. The folder name will follow the form:</w:t>
      </w:r>
    </w:p>
    <w:p>
      <w:pPr>
        <w:pStyle w:val="SourceCode"/>
      </w:pPr>
      <w:r>
        <w:rPr>
          <w:rStyle w:val="VerbatimChar"/>
        </w:rPr>
        <w:t xml:space="preserve">&lt;project_directory&gt;/data/shapefiles/bCASPx_CONUS_Range_2001v1</w:t>
      </w:r>
    </w:p>
    <w:bookmarkEnd w:id="84"/>
    <w:bookmarkStart w:id="85" w:name="registering-the-new-species"/>
    <w:p>
      <w:pPr>
        <w:pStyle w:val="Heading3"/>
      </w:pPr>
      <w:r>
        <w:t xml:space="preserve">- Registering the new species</w:t>
      </w:r>
    </w:p>
    <w:p>
      <w:pPr>
        <w:pStyle w:val="FirstParagraph"/>
      </w:pPr>
      <w:r>
        <w:t xml:space="preserve">Open the species registry file at</w:t>
      </w:r>
      <w:r>
        <w:t xml:space="preserve"> </w:t>
      </w:r>
      <w:r>
        <w:rPr>
          <w:rStyle w:val="VerbatimChar"/>
        </w:rPr>
        <w:t xml:space="preserve">&lt;project_directory&gt;/data/_species.csv</w:t>
      </w:r>
      <w:r>
        <w:t xml:space="preserve"> </w:t>
      </w:r>
      <w:r>
        <w:t xml:space="preserve">and add a row for the new species. The row must include the following fields:</w:t>
      </w:r>
    </w:p>
    <w:p>
      <w:pPr>
        <w:pStyle w:val="Compact"/>
        <w:numPr>
          <w:ilvl w:val="0"/>
          <w:numId w:val="1004"/>
        </w:numPr>
      </w:pPr>
      <w:r>
        <w:t xml:space="preserve">Common name</w:t>
      </w:r>
    </w:p>
    <w:p>
      <w:pPr>
        <w:pStyle w:val="Compact"/>
        <w:numPr>
          <w:ilvl w:val="0"/>
          <w:numId w:val="1004"/>
        </w:numPr>
      </w:pPr>
      <w:r>
        <w:t xml:space="preserve">Scientific name</w:t>
      </w:r>
    </w:p>
    <w:p>
      <w:pPr>
        <w:pStyle w:val="Compact"/>
        <w:numPr>
          <w:ilvl w:val="0"/>
          <w:numId w:val="1004"/>
        </w:numPr>
      </w:pPr>
      <w:r>
        <w:t xml:space="preserve">Alpha code (four-letter banding code)</w:t>
      </w:r>
    </w:p>
    <w:p>
      <w:pPr>
        <w:pStyle w:val="Compact"/>
        <w:numPr>
          <w:ilvl w:val="0"/>
          <w:numId w:val="1004"/>
        </w:numPr>
      </w:pPr>
      <w:r>
        <w:t xml:space="preserve">EBD folder name (the name of the folder you placed in</w:t>
      </w:r>
      <w:r>
        <w:t xml:space="preserve"> </w:t>
      </w:r>
      <w:r>
        <w:rPr>
          <w:rStyle w:val="VerbatimChar"/>
        </w:rPr>
        <w:t xml:space="preserve">data/ebird/</w:t>
      </w:r>
      <w:r>
        <w:t xml:space="preserve">)</w:t>
      </w:r>
    </w:p>
    <w:p>
      <w:pPr>
        <w:pStyle w:val="Compact"/>
        <w:numPr>
          <w:ilvl w:val="0"/>
          <w:numId w:val="1004"/>
        </w:numPr>
      </w:pPr>
      <w:r>
        <w:t xml:space="preserve">GAP range folder name (the name of the folder you placed in</w:t>
      </w:r>
      <w:r>
        <w:t xml:space="preserve"> </w:t>
      </w:r>
      <w:r>
        <w:rPr>
          <w:rStyle w:val="VerbatimChar"/>
        </w:rPr>
        <w:t xml:space="preserve">data/shapefiles/</w:t>
      </w:r>
      <w:r>
        <w:t xml:space="preserve">)</w:t>
      </w:r>
    </w:p>
    <w:p>
      <w:pPr>
        <w:pStyle w:val="FirstParagraph"/>
      </w:pPr>
      <w:r>
        <w:t xml:space="preserve">Use the existing rows in</w:t>
      </w:r>
      <w:r>
        <w:t xml:space="preserve"> </w:t>
      </w:r>
      <w:r>
        <w:rPr>
          <w:rStyle w:val="VerbatimChar"/>
        </w:rPr>
        <w:t xml:space="preserve">_species.csv</w:t>
      </w:r>
      <w:r>
        <w:t xml:space="preserve"> </w:t>
      </w:r>
      <w:r>
        <w:t xml:space="preserve">as a template. Once the row is saved, the new species will be available to the Framework and can be selected by passing its alpha code to any rENM function.</w:t>
      </w:r>
    </w:p>
    <w:bookmarkEnd w:id="85"/>
    <w:bookmarkEnd w:id="86"/>
    <w:bookmarkStart w:id="87" w:name="adding-new-variable-types"/>
    <w:p>
      <w:pPr>
        <w:pStyle w:val="Heading2"/>
      </w:pPr>
      <w:r>
        <w:t xml:space="preserve">Adding new variable types</w:t>
      </w:r>
    </w:p>
    <w:p>
      <w:pPr>
        <w:pStyle w:val="FirstParagraph"/>
      </w:pPr>
      <w:r>
        <w:t xml:space="preserve">Adding new types of variables to the rENM Framework beyond the MERRA-2 and MERRAclim-2 variables included in this distribution requires careful attention to directory structure, file naming, spatial resolution, projection, and temporal organization. The steps involved depend on the type of data being added and may involve functional additions to one or more of the framework modules.</w:t>
      </w:r>
    </w:p>
    <w:p>
      <w:pPr>
        <w:pStyle w:val="BodyText"/>
      </w:pPr>
      <w:r>
        <w:t xml:space="preserve">In general terms, a framework-compatible environmental variable collection must be organized into a directory containing one subdirectory for each of the nine five-year temporal bins spanning 1980–2024, labeled by the bin’s representative year. Each subdirectory contains the raster files for that bin. All bins must contain the same set of variables at the same spatial resolution, projection, and geographic coverage. Variables must have global coverage before being passed to</w:t>
      </w:r>
      <w:r>
        <w:t xml:space="preserve"> </w:t>
      </w:r>
      <w:r>
        <w:rPr>
          <w:rStyle w:val="VerbatimChar"/>
        </w:rPr>
        <w:t xml:space="preserve">get_merra_variables()</w:t>
      </w:r>
      <w:r>
        <w:t xml:space="preserve">, which crops each layer to the species-specific spatial extent at run time.</w:t>
      </w:r>
    </w:p>
    <w:p>
      <w:pPr>
        <w:pStyle w:val="BodyText"/>
      </w:pPr>
      <w:r>
        <w:t xml:space="preserve">The MERRA-2 and MERRAclim-2 collections included in the framework’s example and extended datasets provide the best available templates for constructing a new framework-compatible variable collection. Examining those directory structures before attempting to add new data is strongly recommended. Mapping out protocols for extending the types of occurrence and environmental data accommodated by the framework is an important focus of future development.</w:t>
      </w:r>
    </w:p>
    <w:p>
      <w:pPr>
        <w:pStyle w:val="BodyText"/>
      </w:pPr>
      <w:r>
        <w:t xml:space="preserve">The rENM Framework is designed to accommodate a wide range of environmental data sources beyond MERRA-2, and the community is encouraged to develop and share dataset-specific integration instructions that can be referenced in future releases of the framework.</w:t>
      </w:r>
    </w:p>
    <w:p>
      <w:r>
        <w:br w:type="page"/>
      </w:r>
    </w:p>
    <w:bookmarkEnd w:id="87"/>
    <w:bookmarkEnd w:id="88"/>
    <w:bookmarkStart w:id="95" w:name="appendix-a---related-publications"/>
    <w:p>
      <w:pPr>
        <w:pStyle w:val="Heading1"/>
      </w:pPr>
      <w:r>
        <w:t xml:space="preserve">APPENDIX A - Related Publications</w:t>
      </w:r>
    </w:p>
    <w:p>
      <w:pPr>
        <w:pStyle w:val="FirstParagraph"/>
      </w:pPr>
      <w:r>
        <w:t xml:space="preserve">Schnase, J. L., M. L. Carroll, P. M. Montesano, and V. A. Seamster. (in preparation). The rENM Framework: Toward a modular system for reconstructing and analyzing long-term ecological niche dynamics.</w:t>
      </w:r>
    </w:p>
    <w:p>
      <w:pPr>
        <w:pStyle w:val="BodyText"/>
      </w:pPr>
      <w:r>
        <w:t xml:space="preserve">Schnase, J. L., M. L. Carroll, P. M. Montesano, and V. A. Seamster. 2026. Shifts in seasonal climatic suitability for Cassin’s Sparrow (</w:t>
      </w:r>
      <w:r>
        <w:rPr>
          <w:i/>
          <w:iCs/>
        </w:rPr>
        <w:t xml:space="preserve">Peucaea cassinii</w:t>
      </w:r>
      <w:r>
        <w:t xml:space="preserve">) over four decades. The Southwestern Naturalist, 70(1):1-17.</w:t>
      </w:r>
      <w:r>
        <w:t xml:space="preserve"> </w:t>
      </w:r>
      <w:hyperlink r:id="rId89">
        <w:r>
          <w:rPr>
            <w:rStyle w:val="Hyperlink"/>
          </w:rPr>
          <w:t xml:space="preserve">https://doi.org/10.1894/0038-4909-70.1.7</w:t>
        </w:r>
      </w:hyperlink>
    </w:p>
    <w:p>
      <w:pPr>
        <w:pStyle w:val="BodyText"/>
      </w:pPr>
      <w:r>
        <w:t xml:space="preserve">Schnase, J. L., M. L. Carroll, P. M. Montesano, and V. A. Seamster. 2025. Shifts in breeding phenology for Cassin’s Sparrow (</w:t>
      </w:r>
      <w:r>
        <w:rPr>
          <w:i/>
          <w:iCs/>
        </w:rPr>
        <w:t xml:space="preserve">Peucaea cassinii</w:t>
      </w:r>
      <w:r>
        <w:t xml:space="preserve">) over four decades. Journal of Field Ornithology 96(3):3.</w:t>
      </w:r>
      <w:r>
        <w:t xml:space="preserve"> </w:t>
      </w:r>
      <w:hyperlink r:id="rId90">
        <w:r>
          <w:rPr>
            <w:rStyle w:val="Hyperlink"/>
          </w:rPr>
          <w:t xml:space="preserve">https://doi.org/10.5751/JFO-00691-960303</w:t>
        </w:r>
      </w:hyperlink>
    </w:p>
    <w:p>
      <w:pPr>
        <w:pStyle w:val="BodyText"/>
      </w:pPr>
      <w:r>
        <w:t xml:space="preserve">Schnase, J. L., M. L. Carroll, P. M. Montesano, and V. A. Seamster. 2024. Complex changes in climatic suitability for Cassin’s Sparrow (</w:t>
      </w:r>
      <w:r>
        <w:rPr>
          <w:i/>
          <w:iCs/>
        </w:rPr>
        <w:t xml:space="preserve">Peucaea cassinii</w:t>
      </w:r>
      <w:r>
        <w:t xml:space="preserve">) revealed by retrospective ecological niche modeling. Journal of Field Ornithology 95(1):9.</w:t>
      </w:r>
      <w:r>
        <w:t xml:space="preserve"> </w:t>
      </w:r>
      <w:hyperlink r:id="rId91">
        <w:r>
          <w:rPr>
            <w:rStyle w:val="Hyperlink"/>
          </w:rPr>
          <w:t xml:space="preserve">https://doi.org/10.5751/JFO-00432-950109</w:t>
        </w:r>
      </w:hyperlink>
    </w:p>
    <w:p>
      <w:pPr>
        <w:pStyle w:val="BodyText"/>
      </w:pPr>
      <w:r>
        <w:t xml:space="preserve">Schnase, J.L., and M.L. Carroll. 2023.</w:t>
      </w:r>
      <w:r>
        <w:t xml:space="preserve"> </w:t>
      </w:r>
      <w:r>
        <w:t xml:space="preserve">“The MMX Toolkit: High-Performance, Reanalysis-Based Climatic Suitability Modeling to Advance Avian Conservation.”</w:t>
      </w:r>
      <w:r>
        <w:t xml:space="preserve"> </w:t>
      </w:r>
      <w:r>
        <w:t xml:space="preserve">In Proceedings of the 2023 Conference on Big Data from Space (BiDS’23): 6-9 November 2023, edited by P. Soille, S. Lumnitz, and S. Albani, 299–303. Austrian Center, Vienna: Publications Office of the European Union.</w:t>
      </w:r>
      <w:r>
        <w:t xml:space="preserve"> </w:t>
      </w:r>
      <w:hyperlink r:id="rId92">
        <w:r>
          <w:rPr>
            <w:rStyle w:val="Hyperlink"/>
          </w:rPr>
          <w:t xml:space="preserve">https://doi.org/10.2760/46796</w:t>
        </w:r>
      </w:hyperlink>
    </w:p>
    <w:p>
      <w:pPr>
        <w:pStyle w:val="BodyText"/>
      </w:pPr>
      <w:r>
        <w:t xml:space="preserve">Schnase, J.L. and Carroll, M.L. 2022. Automatic variable selection in ecological niche modeling: a case study using Cassin’s Sparrow (</w:t>
      </w:r>
      <w:r>
        <w:rPr>
          <w:i/>
          <w:iCs/>
        </w:rPr>
        <w:t xml:space="preserve">Peucaea cassinii</w:t>
      </w:r>
      <w:r>
        <w:t xml:space="preserve">). PLoS One. 2022 Jan 21;17(1):e0257502.</w:t>
      </w:r>
      <w:r>
        <w:t xml:space="preserve"> </w:t>
      </w:r>
      <w:hyperlink r:id="rId93">
        <w:r>
          <w:rPr>
            <w:rStyle w:val="Hyperlink"/>
          </w:rPr>
          <w:t xml:space="preserve">doi: 10.1371/journal.pone.0257502</w:t>
        </w:r>
      </w:hyperlink>
      <w:r>
        <w:t xml:space="preserve">. PMID: 35061658; PMCID: PMC8782318.</w:t>
      </w:r>
    </w:p>
    <w:p>
      <w:pPr>
        <w:pStyle w:val="BodyText"/>
      </w:pPr>
      <w:r>
        <w:t xml:space="preserve">Schnase, J.L., M.L. Carroll, R.L. Gill, G.S. Tamkin, J. Li, S.L. Strong, T.P. Maxwell, M.E. Aronne, and C.S. Spradlin. Toward a Monte Carlo approach to selecting climate variables in MaxEnt. PLoS One. 2021. Mar 3;16(3):e0237208.</w:t>
      </w:r>
      <w:r>
        <w:t xml:space="preserve"> </w:t>
      </w:r>
      <w:hyperlink r:id="rId94">
        <w:r>
          <w:rPr>
            <w:rStyle w:val="Hyperlink"/>
          </w:rPr>
          <w:t xml:space="preserve">doi:10.1371/journal.pone.0237208</w:t>
        </w:r>
      </w:hyperlink>
      <w:r>
        <w:t xml:space="preserve">. PMID: 33657125; PMCID: PMC7928495.</w:t>
      </w:r>
    </w:p>
    <w:p>
      <w:r>
        <w:br w:type="page"/>
      </w:r>
    </w:p>
    <w:bookmarkEnd w:id="95"/>
    <w:bookmarkStart w:id="99" w:name="appendix-b---merra-2-variables"/>
    <w:p>
      <w:pPr>
        <w:pStyle w:val="Heading1"/>
      </w:pPr>
      <w:r>
        <w:t xml:space="preserve">APPENDIX B - MERRA-2 variables</w:t>
      </w:r>
    </w:p>
    <w:p>
      <w:pPr>
        <w:pStyle w:val="FirstParagraph"/>
      </w:pPr>
      <w:r>
        <w:drawing>
          <wp:inline>
            <wp:extent cx="3675887" cy="6849640"/>
            <wp:effectExtent b="0" l="0" r="0" t="0"/>
            <wp:docPr descr="" title="" id="97" name="Picture"/>
            <a:graphic>
              <a:graphicData uri="http://schemas.openxmlformats.org/drawingml/2006/picture">
                <pic:pic>
                  <pic:nvPicPr>
                    <pic:cNvPr descr="images/clipboard-2180550565.png" id="98" name="Picture"/>
                    <pic:cNvPicPr>
                      <a:picLocks noChangeArrowheads="1" noChangeAspect="1"/>
                    </pic:cNvPicPr>
                  </pic:nvPicPr>
                  <pic:blipFill>
                    <a:blip r:embed="rId96"/>
                    <a:stretch>
                      <a:fillRect/>
                    </a:stretch>
                  </pic:blipFill>
                  <pic:spPr bwMode="auto">
                    <a:xfrm>
                      <a:off x="0" y="0"/>
                      <a:ext cx="3675887" cy="6849640"/>
                    </a:xfrm>
                    <a:prstGeom prst="rect">
                      <a:avLst/>
                    </a:prstGeom>
                    <a:noFill/>
                    <a:ln w="9525">
                      <a:noFill/>
                      <a:headEnd/>
                      <a:tailEnd/>
                    </a:ln>
                  </pic:spPr>
                </pic:pic>
              </a:graphicData>
            </a:graphic>
          </wp:inline>
        </w:drawing>
      </w:r>
    </w:p>
    <w:p>
      <w:r>
        <w:br w:type="page"/>
      </w:r>
    </w:p>
    <w:bookmarkEnd w:id="99"/>
    <w:bookmarkStart w:id="107" w:name="appendix-c---function-reference"/>
    <w:p>
      <w:pPr>
        <w:pStyle w:val="Heading1"/>
      </w:pPr>
      <w:r>
        <w:t xml:space="preserve">APPENDIX C - Function reference</w:t>
      </w:r>
    </w:p>
    <w:bookmarkStart w:id="100" w:name="renm"/>
    <w:p>
      <w:pPr>
        <w:pStyle w:val="Heading3"/>
      </w:pPr>
      <w:r>
        <w:t xml:space="preserve">rENM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Function</w:t>
            </w:r>
          </w:p>
        </w:tc>
        <w:tc>
          <w:tcPr/>
          <w:p>
            <w:pPr>
              <w:pStyle w:val="Compact"/>
            </w:pPr>
            <w:r>
              <w:t xml:space="preserve">Description</w:t>
            </w:r>
          </w:p>
        </w:tc>
        <w:tc>
          <w:tcPr/>
          <w:p>
            <w:pPr>
              <w:pStyle w:val="Compact"/>
            </w:pPr>
            <w:r>
              <w:t xml:space="preserve">See</w:t>
            </w:r>
          </w:p>
        </w:tc>
      </w:tr>
      <w:tr>
        <w:tc>
          <w:tcPr/>
          <w:p>
            <w:pPr>
              <w:pStyle w:val="Compact"/>
            </w:pPr>
            <w:r>
              <w:rPr>
                <w:rStyle w:val="VerbatimChar"/>
              </w:rPr>
              <w:t xml:space="preserve">rENM()</w:t>
            </w:r>
          </w:p>
        </w:tc>
        <w:tc>
          <w:tcPr/>
          <w:p>
            <w:pPr>
              <w:pStyle w:val="Compact"/>
            </w:pPr>
            <w:r>
              <w:t xml:space="preserve">Execute the complete rENM pipeline for a target species</w:t>
            </w:r>
          </w:p>
        </w:tc>
        <w:tc>
          <w:tcPr/>
          <w:p>
            <w:pPr>
              <w:pStyle w:val="Compact"/>
            </w:pPr>
            <w:r>
              <w:rPr>
                <w:i/>
                <w:iCs/>
              </w:rPr>
              <w:t xml:space="preserve">The rENM Workflow</w:t>
            </w:r>
          </w:p>
        </w:tc>
      </w:tr>
    </w:tbl>
    <w:bookmarkEnd w:id="100"/>
    <w:bookmarkStart w:id="101" w:name="renm.core"/>
    <w:p>
      <w:pPr>
        <w:pStyle w:val="Heading3"/>
      </w:pPr>
      <w:r>
        <w:t xml:space="preserve">rENM.core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Function</w:t>
            </w:r>
          </w:p>
        </w:tc>
        <w:tc>
          <w:tcPr/>
          <w:p>
            <w:pPr>
              <w:pStyle w:val="Compact"/>
            </w:pPr>
            <w:r>
              <w:t xml:space="preserve">Description</w:t>
            </w:r>
          </w:p>
        </w:tc>
        <w:tc>
          <w:tcPr/>
          <w:p>
            <w:pPr>
              <w:pStyle w:val="Compact"/>
            </w:pPr>
            <w:r>
              <w:t xml:space="preserve">See</w:t>
            </w:r>
          </w:p>
        </w:tc>
      </w:tr>
      <w:tr>
        <w:tc>
          <w:tcPr/>
          <w:p>
            <w:pPr>
              <w:pStyle w:val="Compact"/>
            </w:pPr>
            <w:r>
              <w:rPr>
                <w:rStyle w:val="VerbatimChar"/>
              </w:rPr>
              <w:t xml:space="preserve">rENM_project_dir()</w:t>
            </w:r>
          </w:p>
        </w:tc>
        <w:tc>
          <w:tcPr/>
          <w:p>
            <w:pPr>
              <w:pStyle w:val="Compact"/>
            </w:pPr>
            <w:r>
              <w:t xml:space="preserve">Resolve the active project root</w:t>
            </w:r>
          </w:p>
        </w:tc>
        <w:tc>
          <w:tcPr/>
          <w:p>
            <w:pPr>
              <w:pStyle w:val="Compact"/>
            </w:pPr>
            <w:r>
              <w:rPr>
                <w:i/>
                <w:iCs/>
              </w:rPr>
              <w:t xml:space="preserve">Configuring the RStudio Environment</w:t>
            </w:r>
          </w:p>
        </w:tc>
      </w:tr>
      <w:tr>
        <w:tc>
          <w:tcPr/>
          <w:p>
            <w:pPr>
              <w:pStyle w:val="Compact"/>
            </w:pPr>
            <w:r>
              <w:rPr>
                <w:rStyle w:val="VerbatimChar"/>
              </w:rPr>
              <w:t xml:space="preserve">get_species_info()</w:t>
            </w:r>
          </w:p>
        </w:tc>
        <w:tc>
          <w:tcPr/>
          <w:p>
            <w:pPr>
              <w:pStyle w:val="Compact"/>
            </w:pPr>
            <w:r>
              <w:t xml:space="preserve">Retrieve metadata for a species by alpha code</w:t>
            </w:r>
          </w:p>
        </w:tc>
        <w:tc>
          <w:tcPr/>
          <w:p>
            <w:pPr>
              <w:pStyle w:val="Compact"/>
            </w:pPr>
            <w:r>
              <w:rPr>
                <w:i/>
                <w:iCs/>
              </w:rPr>
              <w:t xml:space="preserve">Performing an rENM Analysis</w:t>
            </w:r>
          </w:p>
        </w:tc>
      </w:tr>
      <w:tr>
        <w:tc>
          <w:tcPr/>
          <w:p>
            <w:pPr>
              <w:pStyle w:val="Compact"/>
            </w:pPr>
            <w:r>
              <w:rPr>
                <w:rStyle w:val="VerbatimChar"/>
              </w:rPr>
              <w:t xml:space="preserve">show_species()</w:t>
            </w:r>
          </w:p>
        </w:tc>
        <w:tc>
          <w:tcPr/>
          <w:p>
            <w:pPr>
              <w:pStyle w:val="Compact"/>
            </w:pPr>
            <w:r>
              <w:t xml:space="preserve">List species available in the project</w:t>
            </w:r>
          </w:p>
        </w:tc>
        <w:tc>
          <w:tcPr/>
          <w:p>
            <w:pPr>
              <w:pStyle w:val="Compact"/>
            </w:pPr>
            <w:r>
              <w:rPr>
                <w:i/>
                <w:iCs/>
              </w:rPr>
              <w:t xml:space="preserve">Performing an rENM Analysis</w:t>
            </w:r>
          </w:p>
        </w:tc>
      </w:tr>
      <w:tr>
        <w:tc>
          <w:tcPr/>
          <w:p>
            <w:pPr>
              <w:pStyle w:val="Compact"/>
            </w:pPr>
            <w:r>
              <w:rPr>
                <w:rStyle w:val="VerbatimChar"/>
              </w:rPr>
              <w:t xml:space="preserve">show_variables()</w:t>
            </w:r>
          </w:p>
        </w:tc>
        <w:tc>
          <w:tcPr/>
          <w:p>
            <w:pPr>
              <w:pStyle w:val="Compact"/>
            </w:pPr>
            <w:r>
              <w:t xml:space="preserve">List environmental variables available in the project</w:t>
            </w:r>
          </w:p>
        </w:tc>
        <w:tc>
          <w:tcPr/>
          <w:p>
            <w:pPr>
              <w:pStyle w:val="Compact"/>
            </w:pPr>
            <w:r>
              <w:rPr>
                <w:i/>
                <w:iCs/>
              </w:rPr>
              <w:t xml:space="preserve">Data Assembly</w:t>
            </w:r>
          </w:p>
        </w:tc>
      </w:tr>
    </w:tbl>
    <w:bookmarkEnd w:id="101"/>
    <w:bookmarkStart w:id="102" w:name="renm.data"/>
    <w:p>
      <w:pPr>
        <w:pStyle w:val="Heading3"/>
      </w:pPr>
      <w:r>
        <w:t xml:space="preserve">rENM.data</w:t>
      </w:r>
    </w:p>
    <w:p>
      <w:pPr>
        <w:pStyle w:val="FirstParagraph"/>
      </w:pPr>
      <w:r>
        <w:t xml:space="preserve">All functions in this package are documented in</w:t>
      </w:r>
      <w:r>
        <w:t xml:space="preserve"> </w:t>
      </w:r>
      <w:r>
        <w:rPr>
          <w:i/>
          <w:iCs/>
        </w:rPr>
        <w:t xml:space="preserve">Data Assembly</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Description</w:t>
            </w:r>
          </w:p>
        </w:tc>
      </w:tr>
      <w:tr>
        <w:tc>
          <w:tcPr/>
          <w:p>
            <w:pPr>
              <w:pStyle w:val="Compact"/>
            </w:pPr>
            <w:r>
              <w:rPr>
                <w:rStyle w:val="VerbatimChar"/>
              </w:rPr>
              <w:t xml:space="preserve">find_occurrence_extent()</w:t>
            </w:r>
          </w:p>
        </w:tc>
        <w:tc>
          <w:tcPr/>
          <w:p>
            <w:pPr>
              <w:pStyle w:val="Compact"/>
            </w:pPr>
            <w:r>
              <w:t xml:space="preserve">Derive spatial extent from occurrence data</w:t>
            </w:r>
          </w:p>
        </w:tc>
      </w:tr>
      <w:tr>
        <w:tc>
          <w:tcPr/>
          <w:p>
            <w:pPr>
              <w:pStyle w:val="Compact"/>
            </w:pPr>
            <w:r>
              <w:rPr>
                <w:rStyle w:val="VerbatimChar"/>
              </w:rPr>
              <w:t xml:space="preserve">find_range_extent()</w:t>
            </w:r>
          </w:p>
        </w:tc>
        <w:tc>
          <w:tcPr/>
          <w:p>
            <w:pPr>
              <w:pStyle w:val="Compact"/>
            </w:pPr>
            <w:r>
              <w:t xml:space="preserve">Derive spatial extent from a USGS GAP range polygon</w:t>
            </w:r>
          </w:p>
        </w:tc>
      </w:tr>
      <w:tr>
        <w:tc>
          <w:tcPr/>
          <w:p>
            <w:pPr>
              <w:pStyle w:val="Compact"/>
            </w:pPr>
            <w:r>
              <w:rPr>
                <w:rStyle w:val="VerbatimChar"/>
              </w:rPr>
              <w:t xml:space="preserve">get_ebird_occurrences()</w:t>
            </w:r>
          </w:p>
        </w:tc>
        <w:tc>
          <w:tcPr/>
          <w:p>
            <w:pPr>
              <w:pStyle w:val="Compact"/>
            </w:pPr>
            <w:r>
              <w:t xml:space="preserve">Read and bin an eBird EBD file into five-year temporal bins</w:t>
            </w:r>
          </w:p>
        </w:tc>
      </w:tr>
      <w:tr>
        <w:tc>
          <w:tcPr/>
          <w:p>
            <w:pPr>
              <w:pStyle w:val="Compact"/>
            </w:pPr>
            <w:r>
              <w:rPr>
                <w:rStyle w:val="VerbatimChar"/>
              </w:rPr>
              <w:t xml:space="preserve">get_merra_variables()</w:t>
            </w:r>
          </w:p>
        </w:tc>
        <w:tc>
          <w:tcPr/>
          <w:p>
            <w:pPr>
              <w:pStyle w:val="Compact"/>
            </w:pPr>
            <w:r>
              <w:t xml:space="preserve">Crop MERRA-2 predictor rasters to the species extent</w:t>
            </w:r>
          </w:p>
        </w:tc>
      </w:tr>
      <w:tr>
        <w:tc>
          <w:tcPr/>
          <w:p>
            <w:pPr>
              <w:pStyle w:val="Compact"/>
            </w:pPr>
            <w:r>
              <w:rPr>
                <w:rStyle w:val="VerbatimChar"/>
              </w:rPr>
              <w:t xml:space="preserve">limit_record_count()</w:t>
            </w:r>
          </w:p>
        </w:tc>
        <w:tc>
          <w:tcPr/>
          <w:p>
            <w:pPr>
              <w:pStyle w:val="Compact"/>
            </w:pPr>
            <w:r>
              <w:t xml:space="preserve">Downsample bins to a maximum record count</w:t>
            </w:r>
          </w:p>
        </w:tc>
      </w:tr>
      <w:tr>
        <w:tc>
          <w:tcPr/>
          <w:p>
            <w:pPr>
              <w:pStyle w:val="Compact"/>
            </w:pPr>
            <w:r>
              <w:rPr>
                <w:rStyle w:val="VerbatimChar"/>
              </w:rPr>
              <w:t xml:space="preserve">remove_duplicate_occurrences()</w:t>
            </w:r>
          </w:p>
        </w:tc>
        <w:tc>
          <w:tcPr/>
          <w:p>
            <w:pPr>
              <w:pStyle w:val="Compact"/>
            </w:pPr>
            <w:r>
              <w:t xml:space="preserve">Remove exact-coordinate duplicate records</w:t>
            </w:r>
          </w:p>
        </w:tc>
      </w:tr>
      <w:tr>
        <w:tc>
          <w:tcPr/>
          <w:p>
            <w:pPr>
              <w:pStyle w:val="Compact"/>
            </w:pPr>
            <w:r>
              <w:rPr>
                <w:rStyle w:val="VerbatimChar"/>
              </w:rPr>
              <w:t xml:space="preserve">set_extent()</w:t>
            </w:r>
          </w:p>
        </w:tc>
        <w:tc>
          <w:tcPr/>
          <w:p>
            <w:pPr>
              <w:pStyle w:val="Compact"/>
            </w:pPr>
            <w:r>
              <w:t xml:space="preserve">Set spatial extent from explicit coordinates</w:t>
            </w:r>
          </w:p>
        </w:tc>
      </w:tr>
      <w:tr>
        <w:tc>
          <w:tcPr/>
          <w:p>
            <w:pPr>
              <w:pStyle w:val="Compact"/>
            </w:pPr>
            <w:r>
              <w:rPr>
                <w:rStyle w:val="VerbatimChar"/>
              </w:rPr>
              <w:t xml:space="preserve">thin_occurrences()</w:t>
            </w:r>
          </w:p>
        </w:tc>
        <w:tc>
          <w:tcPr/>
          <w:p>
            <w:pPr>
              <w:pStyle w:val="Compact"/>
            </w:pPr>
            <w:r>
              <w:t xml:space="preserve">Sequential spatial thinning</w:t>
            </w:r>
          </w:p>
        </w:tc>
      </w:tr>
      <w:tr>
        <w:tc>
          <w:tcPr/>
          <w:p>
            <w:pPr>
              <w:pStyle w:val="Compact"/>
            </w:pPr>
            <w:r>
              <w:rPr>
                <w:rStyle w:val="VerbatimChar"/>
              </w:rPr>
              <w:t xml:space="preserve">thin_occurrences2()</w:t>
            </w:r>
          </w:p>
        </w:tc>
        <w:tc>
          <w:tcPr/>
          <w:p>
            <w:pPr>
              <w:pStyle w:val="Compact"/>
            </w:pPr>
            <w:r>
              <w:t xml:space="preserve">Parallel spatial thinning with optional record cap</w:t>
            </w:r>
          </w:p>
        </w:tc>
      </w:tr>
      <w:tr>
        <w:tc>
          <w:tcPr/>
          <w:p>
            <w:pPr>
              <w:pStyle w:val="Compact"/>
            </w:pPr>
            <w:r>
              <w:rPr>
                <w:rStyle w:val="VerbatimChar"/>
              </w:rPr>
              <w:t xml:space="preserve">tidy_occurrences()</w:t>
            </w:r>
          </w:p>
        </w:tc>
        <w:tc>
          <w:tcPr/>
          <w:p>
            <w:pPr>
              <w:pStyle w:val="Compact"/>
            </w:pPr>
            <w:r>
              <w:t xml:space="preserve">Move cleaned occurrence files from staging to main directory</w:t>
            </w:r>
          </w:p>
        </w:tc>
      </w:tr>
    </w:tbl>
    <w:bookmarkEnd w:id="102"/>
    <w:bookmarkStart w:id="103" w:name="renm.model"/>
    <w:p>
      <w:pPr>
        <w:pStyle w:val="Heading3"/>
      </w:pPr>
      <w:r>
        <w:t xml:space="preserve">rENM.model</w:t>
      </w:r>
    </w:p>
    <w:p>
      <w:pPr>
        <w:pStyle w:val="FirstParagraph"/>
      </w:pPr>
      <w:r>
        <w:t xml:space="preserve">All functions in this package are documented in</w:t>
      </w:r>
      <w:r>
        <w:t xml:space="preserve"> </w:t>
      </w:r>
      <w:r>
        <w:rPr>
          <w:i/>
          <w:iCs/>
        </w:rPr>
        <w:t xml:space="preserve">Time Series Construction</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Description</w:t>
            </w:r>
          </w:p>
        </w:tc>
      </w:tr>
      <w:tr>
        <w:tc>
          <w:tcPr/>
          <w:p>
            <w:pPr>
              <w:pStyle w:val="Compact"/>
            </w:pPr>
            <w:r>
              <w:rPr>
                <w:rStyle w:val="VerbatimChar"/>
              </w:rPr>
              <w:t xml:space="preserve">create_ensemble_model()</w:t>
            </w:r>
          </w:p>
        </w:tc>
        <w:tc>
          <w:tcPr/>
          <w:p>
            <w:pPr>
              <w:pStyle w:val="Compact"/>
            </w:pPr>
            <w:r>
              <w:t xml:space="preserve">Fit an ensemble ENM for a single species and time bin</w:t>
            </w:r>
          </w:p>
        </w:tc>
      </w:tr>
      <w:tr>
        <w:tc>
          <w:tcPr/>
          <w:p>
            <w:pPr>
              <w:pStyle w:val="Compact"/>
            </w:pPr>
            <w:r>
              <w:rPr>
                <w:rStyle w:val="VerbatimChar"/>
              </w:rPr>
              <w:t xml:space="preserve">create_range_map()</w:t>
            </w:r>
          </w:p>
        </w:tc>
        <w:tc>
          <w:tcPr/>
          <w:p>
            <w:pPr>
              <w:pStyle w:val="Compact"/>
            </w:pPr>
            <w:r>
              <w:t xml:space="preserve">Produce a binary presence-absence range map</w:t>
            </w:r>
          </w:p>
        </w:tc>
      </w:tr>
      <w:tr>
        <w:tc>
          <w:tcPr/>
          <w:p>
            <w:pPr>
              <w:pStyle w:val="Compact"/>
            </w:pPr>
            <w:r>
              <w:rPr>
                <w:rStyle w:val="VerbatimChar"/>
              </w:rPr>
              <w:t xml:space="preserve">create_timeseries()</w:t>
            </w:r>
          </w:p>
        </w:tc>
        <w:tc>
          <w:tcPr/>
          <w:p>
            <w:pPr>
              <w:pStyle w:val="Compact"/>
            </w:pPr>
            <w:r>
              <w:t xml:space="preserve">Run ensemble models across all time bins in parallel</w:t>
            </w:r>
          </w:p>
        </w:tc>
      </w:tr>
      <w:tr>
        <w:tc>
          <w:tcPr/>
          <w:p>
            <w:pPr>
              <w:pStyle w:val="Compact"/>
            </w:pPr>
            <w:r>
              <w:rPr>
                <w:rStyle w:val="VerbatimChar"/>
              </w:rPr>
              <w:t xml:space="preserve">plot_suitability()</w:t>
            </w:r>
          </w:p>
        </w:tc>
        <w:tc>
          <w:tcPr/>
          <w:p>
            <w:pPr>
              <w:pStyle w:val="Compact"/>
            </w:pPr>
            <w:r>
              <w:t xml:space="preserve">Plot a continuous climatic suitability raster</w:t>
            </w:r>
          </w:p>
        </w:tc>
      </w:tr>
      <w:tr>
        <w:tc>
          <w:tcPr/>
          <w:p>
            <w:pPr>
              <w:pStyle w:val="Compact"/>
            </w:pPr>
            <w:r>
              <w:rPr>
                <w:rStyle w:val="VerbatimChar"/>
              </w:rPr>
              <w:t xml:space="preserve">rank_variable_importance()</w:t>
            </w:r>
          </w:p>
        </w:tc>
        <w:tc>
          <w:tcPr/>
          <w:p>
            <w:pPr>
              <w:pStyle w:val="Compact"/>
            </w:pPr>
            <w:r>
              <w:t xml:space="preserve">Parse and rank variable importance from an SDM model report</w:t>
            </w:r>
          </w:p>
        </w:tc>
      </w:tr>
      <w:tr>
        <w:tc>
          <w:tcPr/>
          <w:p>
            <w:pPr>
              <w:pStyle w:val="Compact"/>
            </w:pPr>
            <w:r>
              <w:rPr>
                <w:rStyle w:val="VerbatimChar"/>
              </w:rPr>
              <w:t xml:space="preserve">reduce_covariance()</w:t>
            </w:r>
          </w:p>
        </w:tc>
        <w:tc>
          <w:tcPr/>
          <w:p>
            <w:pPr>
              <w:pStyle w:val="Compact"/>
            </w:pPr>
            <w:r>
              <w:t xml:space="preserve">Remove collinear predictors via adaptive VIF screening</w:t>
            </w:r>
          </w:p>
        </w:tc>
      </w:tr>
      <w:tr>
        <w:tc>
          <w:tcPr/>
          <w:p>
            <w:pPr>
              <w:pStyle w:val="Compact"/>
            </w:pPr>
            <w:r>
              <w:rPr>
                <w:rStyle w:val="VerbatimChar"/>
              </w:rPr>
              <w:t xml:space="preserve">save_suitability_plot()</w:t>
            </w:r>
          </w:p>
        </w:tc>
        <w:tc>
          <w:tcPr/>
          <w:p>
            <w:pPr>
              <w:pStyle w:val="Compact"/>
            </w:pPr>
            <w:r>
              <w:t xml:space="preserve">Save a suitability plot to file</w:t>
            </w:r>
          </w:p>
        </w:tc>
      </w:tr>
      <w:tr>
        <w:tc>
          <w:tcPr/>
          <w:p>
            <w:pPr>
              <w:pStyle w:val="Compact"/>
            </w:pPr>
            <w:r>
              <w:rPr>
                <w:rStyle w:val="VerbatimChar"/>
              </w:rPr>
              <w:t xml:space="preserve">screen_by_convergence1()</w:t>
            </w:r>
          </w:p>
        </w:tc>
        <w:tc>
          <w:tcPr/>
          <w:p>
            <w:pPr>
              <w:pStyle w:val="Compact"/>
            </w:pPr>
            <w:r>
              <w:t xml:space="preserve">Convergence-based variable screening via MaxEnt (requires Java)</w:t>
            </w:r>
          </w:p>
        </w:tc>
      </w:tr>
      <w:tr>
        <w:tc>
          <w:tcPr/>
          <w:p>
            <w:pPr>
              <w:pStyle w:val="Compact"/>
            </w:pPr>
            <w:r>
              <w:rPr>
                <w:rStyle w:val="VerbatimChar"/>
              </w:rPr>
              <w:t xml:space="preserve">screen_by_convergence2()</w:t>
            </w:r>
          </w:p>
        </w:tc>
        <w:tc>
          <w:tcPr/>
          <w:p>
            <w:pPr>
              <w:pStyle w:val="Compact"/>
            </w:pPr>
            <w:r>
              <w:t xml:space="preserve">Convergence-based variable screening via maxnet (no Java dependency)</w:t>
            </w:r>
          </w:p>
        </w:tc>
      </w:tr>
      <w:tr>
        <w:tc>
          <w:tcPr/>
          <w:p>
            <w:pPr>
              <w:pStyle w:val="Compact"/>
            </w:pPr>
            <w:r>
              <w:rPr>
                <w:rStyle w:val="VerbatimChar"/>
              </w:rPr>
              <w:t xml:space="preserve">stage_all_variables()</w:t>
            </w:r>
          </w:p>
        </w:tc>
        <w:tc>
          <w:tcPr/>
          <w:p>
            <w:pPr>
              <w:pStyle w:val="Compact"/>
            </w:pPr>
            <w:r>
              <w:t xml:space="preserve">Copy all predictor rasters into TimeSeries bins</w:t>
            </w:r>
          </w:p>
        </w:tc>
      </w:tr>
      <w:tr>
        <w:tc>
          <w:tcPr/>
          <w:p>
            <w:pPr>
              <w:pStyle w:val="Compact"/>
            </w:pPr>
            <w:r>
              <w:rPr>
                <w:rStyle w:val="VerbatimChar"/>
              </w:rPr>
              <w:t xml:space="preserve">stage_occurrences()</w:t>
            </w:r>
          </w:p>
        </w:tc>
        <w:tc>
          <w:tcPr/>
          <w:p>
            <w:pPr>
              <w:pStyle w:val="Compact"/>
            </w:pPr>
            <w:r>
              <w:t xml:space="preserve">Copy occurrence files into TimeSeries bins</w:t>
            </w:r>
          </w:p>
        </w:tc>
      </w:tr>
      <w:tr>
        <w:tc>
          <w:tcPr/>
          <w:p>
            <w:pPr>
              <w:pStyle w:val="Compact"/>
            </w:pPr>
            <w:r>
              <w:rPr>
                <w:rStyle w:val="VerbatimChar"/>
              </w:rPr>
              <w:t xml:space="preserve">stage_screened_variables()</w:t>
            </w:r>
          </w:p>
        </w:tc>
        <w:tc>
          <w:tcPr/>
          <w:p>
            <w:pPr>
              <w:pStyle w:val="Compact"/>
            </w:pPr>
            <w:r>
              <w:t xml:space="preserve">Copy screened predictors into TimeSeries bins</w:t>
            </w:r>
          </w:p>
        </w:tc>
      </w:tr>
    </w:tbl>
    <w:bookmarkEnd w:id="103"/>
    <w:bookmarkStart w:id="104" w:name="renm.analysis"/>
    <w:p>
      <w:pPr>
        <w:pStyle w:val="Heading3"/>
      </w:pPr>
      <w:r>
        <w:t xml:space="preserve">rENM.analysis</w:t>
      </w:r>
    </w:p>
    <w:p>
      <w:pPr>
        <w:pStyle w:val="FirstParagraph"/>
      </w:pPr>
      <w:r>
        <w:t xml:space="preserve">All functions in this package are documented in</w:t>
      </w:r>
      <w:r>
        <w:t xml:space="preserve"> </w:t>
      </w:r>
      <w:r>
        <w:rPr>
          <w:i/>
          <w:iCs/>
        </w:rPr>
        <w:t xml:space="preserve">Time Series Analysis</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Description</w:t>
            </w:r>
          </w:p>
        </w:tc>
      </w:tr>
      <w:tr>
        <w:tc>
          <w:tcPr/>
          <w:p>
            <w:pPr>
              <w:pStyle w:val="Compact"/>
            </w:pPr>
            <w:r>
              <w:rPr>
                <w:rStyle w:val="VerbatimChar"/>
              </w:rPr>
              <w:t xml:space="preserve">analyze_weighted_centroids()</w:t>
            </w:r>
          </w:p>
        </w:tc>
        <w:tc>
          <w:tcPr/>
          <w:p>
            <w:pPr>
              <w:pStyle w:val="Compact"/>
            </w:pPr>
            <w:r>
              <w:t xml:space="preserve">Fit Bayesian trends to centroid coordinates</w:t>
            </w:r>
          </w:p>
        </w:tc>
      </w:tr>
      <w:tr>
        <w:tc>
          <w:tcPr/>
          <w:p>
            <w:pPr>
              <w:pStyle w:val="Compact"/>
            </w:pPr>
            <w:r>
              <w:rPr>
                <w:rStyle w:val="VerbatimChar"/>
              </w:rPr>
              <w:t xml:space="preserve">create_hot_spot_map()</w:t>
            </w:r>
          </w:p>
        </w:tc>
        <w:tc>
          <w:tcPr/>
          <w:p>
            <w:pPr>
              <w:pStyle w:val="Compact"/>
            </w:pPr>
            <w:r>
              <w:t xml:space="preserve">Map hotspot regions within states intersecting the GAP range</w:t>
            </w:r>
          </w:p>
        </w:tc>
      </w:tr>
      <w:tr>
        <w:tc>
          <w:tcPr/>
          <w:p>
            <w:pPr>
              <w:pStyle w:val="Compact"/>
            </w:pPr>
            <w:r>
              <w:rPr>
                <w:rStyle w:val="VerbatimChar"/>
              </w:rPr>
              <w:t xml:space="preserve">create_state_trend_analysis()</w:t>
            </w:r>
          </w:p>
        </w:tc>
        <w:tc>
          <w:tcPr/>
          <w:p>
            <w:pPr>
              <w:pStyle w:val="Compact"/>
            </w:pPr>
            <w:r>
              <w:t xml:space="preserve">Per-state suitability trend map and statistics</w:t>
            </w:r>
          </w:p>
        </w:tc>
      </w:tr>
      <w:tr>
        <w:tc>
          <w:tcPr/>
          <w:p>
            <w:pPr>
              <w:pStyle w:val="Compact"/>
            </w:pPr>
            <w:r>
              <w:rPr>
                <w:rStyle w:val="VerbatimChar"/>
              </w:rPr>
              <w:t xml:space="preserve">create_suitability_change_map()</w:t>
            </w:r>
          </w:p>
        </w:tc>
        <w:tc>
          <w:tcPr/>
          <w:p>
            <w:pPr>
              <w:pStyle w:val="Compact"/>
            </w:pPr>
            <w:r>
              <w:t xml:space="preserve">Suitability rate-of-change trend map</w:t>
            </w:r>
          </w:p>
        </w:tc>
      </w:tr>
      <w:tr>
        <w:tc>
          <w:tcPr/>
          <w:p>
            <w:pPr>
              <w:pStyle w:val="Compact"/>
            </w:pPr>
            <w:r>
              <w:rPr>
                <w:rStyle w:val="VerbatimChar"/>
              </w:rPr>
              <w:t xml:space="preserve">find_bioclimatic_velocity()</w:t>
            </w:r>
          </w:p>
        </w:tc>
        <w:tc>
          <w:tcPr/>
          <w:p>
            <w:pPr>
              <w:pStyle w:val="Compact"/>
            </w:pPr>
            <w:r>
              <w:t xml:space="preserve">Estimate suitability displacement direction, distance, and velocity</w:t>
            </w:r>
          </w:p>
        </w:tc>
      </w:tr>
      <w:tr>
        <w:tc>
          <w:tcPr/>
          <w:p>
            <w:pPr>
              <w:pStyle w:val="Compact"/>
            </w:pPr>
            <w:r>
              <w:rPr>
                <w:rStyle w:val="VerbatimChar"/>
              </w:rPr>
              <w:t xml:space="preserve">find_hot_spots()</w:t>
            </w:r>
          </w:p>
        </w:tc>
        <w:tc>
          <w:tcPr/>
          <w:p>
            <w:pPr>
              <w:pStyle w:val="Compact"/>
            </w:pPr>
            <w:r>
              <w:t xml:space="preserve">Identify cells with accelerating suitability declines</w:t>
            </w:r>
          </w:p>
        </w:tc>
      </w:tr>
      <w:tr>
        <w:tc>
          <w:tcPr/>
          <w:p>
            <w:pPr>
              <w:pStyle w:val="Compact"/>
            </w:pPr>
            <w:r>
              <w:rPr>
                <w:rStyle w:val="VerbatimChar"/>
              </w:rPr>
              <w:t xml:space="preserve">find_range_change_percentages()</w:t>
            </w:r>
          </w:p>
        </w:tc>
        <w:tc>
          <w:tcPr/>
          <w:p>
            <w:pPr>
              <w:pStyle w:val="Compact"/>
            </w:pPr>
            <w:r>
              <w:t xml:space="preserve">Summarize trend proportions within the USGS GAP range</w:t>
            </w:r>
          </w:p>
        </w:tc>
      </w:tr>
      <w:tr>
        <w:tc>
          <w:tcPr/>
          <w:p>
            <w:pPr>
              <w:pStyle w:val="Compact"/>
            </w:pPr>
            <w:r>
              <w:rPr>
                <w:rStyle w:val="VerbatimChar"/>
              </w:rPr>
              <w:t xml:space="preserve">find_suitability_change_trend()</w:t>
            </w:r>
          </w:p>
        </w:tc>
        <w:tc>
          <w:tcPr/>
          <w:p>
            <w:pPr>
              <w:pStyle w:val="Compact"/>
            </w:pPr>
            <w:r>
              <w:t xml:space="preserve">Compute trends in suitability rate of change</w:t>
            </w:r>
          </w:p>
        </w:tc>
      </w:tr>
      <w:tr>
        <w:tc>
          <w:tcPr/>
          <w:p>
            <w:pPr>
              <w:pStyle w:val="Compact"/>
            </w:pPr>
            <w:r>
              <w:rPr>
                <w:rStyle w:val="VerbatimChar"/>
              </w:rPr>
              <w:t xml:space="preserve">find_suitability_trend()</w:t>
            </w:r>
          </w:p>
        </w:tc>
        <w:tc>
          <w:tcPr/>
          <w:p>
            <w:pPr>
              <w:pStyle w:val="Compact"/>
            </w:pPr>
            <w:r>
              <w:t xml:space="preserve">Compute per-cell Theil-Sen trends and Mann-Kendall statistics</w:t>
            </w:r>
          </w:p>
        </w:tc>
      </w:tr>
      <w:tr>
        <w:tc>
          <w:tcPr/>
          <w:p>
            <w:pPr>
              <w:pStyle w:val="Compact"/>
            </w:pPr>
            <w:r>
              <w:rPr>
                <w:rStyle w:val="VerbatimChar"/>
              </w:rPr>
              <w:t xml:space="preserve">find_trend_percentages()</w:t>
            </w:r>
          </w:p>
        </w:tc>
        <w:tc>
          <w:tcPr/>
          <w:p>
            <w:pPr>
              <w:pStyle w:val="Compact"/>
            </w:pPr>
            <w:r>
              <w:t xml:space="preserve">Summarize trend proportions across the modeled extent</w:t>
            </w:r>
          </w:p>
        </w:tc>
      </w:tr>
      <w:tr>
        <w:tc>
          <w:tcPr/>
          <w:p>
            <w:pPr>
              <w:pStyle w:val="Compact"/>
            </w:pPr>
            <w:r>
              <w:rPr>
                <w:rStyle w:val="VerbatimChar"/>
              </w:rPr>
              <w:t xml:space="preserve">find_weighted_centroid()</w:t>
            </w:r>
          </w:p>
        </w:tc>
        <w:tc>
          <w:tcPr/>
          <w:p>
            <w:pPr>
              <w:pStyle w:val="Compact"/>
            </w:pPr>
            <w:r>
              <w:t xml:space="preserve">Compute suitability-weighted spatial centroids (called internally by</w:t>
            </w:r>
            <w:r>
              <w:t xml:space="preserve"> </w:t>
            </w:r>
            <w:r>
              <w:rPr>
                <w:rStyle w:val="VerbatimChar"/>
              </w:rPr>
              <w:t xml:space="preserve">analyze_weighted_centroids()</w:t>
            </w:r>
            <w:r>
              <w:t xml:space="preserve">)</w:t>
            </w:r>
          </w:p>
        </w:tc>
      </w:tr>
      <w:tr>
        <w:tc>
          <w:tcPr/>
          <w:p>
            <w:pPr>
              <w:pStyle w:val="Compact"/>
            </w:pPr>
            <w:r>
              <w:rPr>
                <w:rStyle w:val="VerbatimChar"/>
              </w:rPr>
              <w:t xml:space="preserve">gather_variable_contributions()</w:t>
            </w:r>
          </w:p>
        </w:tc>
        <w:tc>
          <w:tcPr/>
          <w:p>
            <w:pPr>
              <w:pStyle w:val="Compact"/>
            </w:pPr>
            <w:r>
              <w:t xml:space="preserve">Consolidate per-year variable importance files</w:t>
            </w:r>
          </w:p>
        </w:tc>
      </w:tr>
      <w:tr>
        <w:tc>
          <w:tcPr/>
          <w:p>
            <w:pPr>
              <w:pStyle w:val="Compact"/>
            </w:pPr>
            <w:r>
              <w:rPr>
                <w:rStyle w:val="VerbatimChar"/>
              </w:rPr>
              <w:t xml:space="preserve">plot_suitability_change_trend()</w:t>
            </w:r>
          </w:p>
        </w:tc>
        <w:tc>
          <w:tcPr/>
          <w:p>
            <w:pPr>
              <w:pStyle w:val="Compact"/>
            </w:pPr>
            <w:r>
              <w:t xml:space="preserve">Plot suitability rate-of-change trend raster</w:t>
            </w:r>
          </w:p>
        </w:tc>
      </w:tr>
      <w:tr>
        <w:tc>
          <w:tcPr/>
          <w:p>
            <w:pPr>
              <w:pStyle w:val="Compact"/>
            </w:pPr>
            <w:r>
              <w:rPr>
                <w:rStyle w:val="VerbatimChar"/>
              </w:rPr>
              <w:t xml:space="preserve">plot_trend()</w:t>
            </w:r>
          </w:p>
        </w:tc>
        <w:tc>
          <w:tcPr/>
          <w:p>
            <w:pPr>
              <w:pStyle w:val="Compact"/>
            </w:pPr>
            <w:r>
              <w:t xml:space="preserve">Plot a climatic suitability trend raster</w:t>
            </w:r>
          </w:p>
        </w:tc>
      </w:tr>
      <w:tr>
        <w:tc>
          <w:tcPr/>
          <w:p>
            <w:pPr>
              <w:pStyle w:val="Compact"/>
            </w:pPr>
            <w:r>
              <w:rPr>
                <w:rStyle w:val="VerbatimChar"/>
              </w:rPr>
              <w:t xml:space="preserve">plot_trend_with_centroids()</w:t>
            </w:r>
          </w:p>
        </w:tc>
        <w:tc>
          <w:tcPr/>
          <w:p>
            <w:pPr>
              <w:pStyle w:val="Compact"/>
            </w:pPr>
            <w:r>
              <w:t xml:space="preserve">Plot suitability trend with centroid displacement overlay</w:t>
            </w:r>
          </w:p>
        </w:tc>
      </w:tr>
      <w:tr>
        <w:tc>
          <w:tcPr/>
          <w:p>
            <w:pPr>
              <w:pStyle w:val="Compact"/>
            </w:pPr>
            <w:r>
              <w:rPr>
                <w:rStyle w:val="VerbatimChar"/>
              </w:rPr>
              <w:t xml:space="preserve">save_trend_plot()</w:t>
            </w:r>
          </w:p>
        </w:tc>
        <w:tc>
          <w:tcPr/>
          <w:p>
            <w:pPr>
              <w:pStyle w:val="Compact"/>
            </w:pPr>
            <w:r>
              <w:t xml:space="preserve">Save a suitability trend map to file</w:t>
            </w:r>
          </w:p>
        </w:tc>
      </w:tr>
      <w:tr>
        <w:tc>
          <w:tcPr/>
          <w:p>
            <w:pPr>
              <w:pStyle w:val="Compact"/>
            </w:pPr>
            <w:r>
              <w:rPr>
                <w:rStyle w:val="VerbatimChar"/>
              </w:rPr>
              <w:t xml:space="preserve">save_trend_plot_with_centroids()</w:t>
            </w:r>
          </w:p>
        </w:tc>
        <w:tc>
          <w:tcPr/>
          <w:p>
            <w:pPr>
              <w:pStyle w:val="Compact"/>
            </w:pPr>
            <w:r>
              <w:t xml:space="preserve">Save a suitability trend map with centroid displacement vector</w:t>
            </w:r>
          </w:p>
        </w:tc>
      </w:tr>
      <w:tr>
        <w:tc>
          <w:tcPr/>
          <w:p>
            <w:pPr>
              <w:pStyle w:val="Compact"/>
            </w:pPr>
            <w:r>
              <w:rPr>
                <w:rStyle w:val="VerbatimChar"/>
              </w:rPr>
              <w:t xml:space="preserve">summarize_variable_contributions()</w:t>
            </w:r>
          </w:p>
        </w:tc>
        <w:tc>
          <w:tcPr/>
          <w:p>
            <w:pPr>
              <w:pStyle w:val="Compact"/>
            </w:pPr>
            <w:r>
              <w:t xml:space="preserve">Frequentist and Bayesian trend analysis of variable contributions</w:t>
            </w:r>
          </w:p>
        </w:tc>
      </w:tr>
    </w:tbl>
    <w:bookmarkEnd w:id="104"/>
    <w:bookmarkStart w:id="105" w:name="renm.ai"/>
    <w:p>
      <w:pPr>
        <w:pStyle w:val="Heading3"/>
      </w:pPr>
      <w:r>
        <w:t xml:space="preserve">rENM.ai</w:t>
      </w:r>
    </w:p>
    <w:p>
      <w:pPr>
        <w:pStyle w:val="FirstParagraph"/>
      </w:pPr>
      <w:r>
        <w:t xml:space="preserve">All functions in this package are documented in</w:t>
      </w:r>
      <w:r>
        <w:t xml:space="preserve"> </w:t>
      </w:r>
      <w:r>
        <w:rPr>
          <w:i/>
          <w:iCs/>
        </w:rPr>
        <w:t xml:space="preserve">GenAI Analysis</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Description</w:t>
            </w:r>
          </w:p>
        </w:tc>
      </w:tr>
      <w:tr>
        <w:tc>
          <w:tcPr/>
          <w:p>
            <w:pPr>
              <w:pStyle w:val="Compact"/>
            </w:pPr>
            <w:r>
              <w:rPr>
                <w:rStyle w:val="VerbatimChar"/>
              </w:rPr>
              <w:t xml:space="preserve">assemble_ai_package()</w:t>
            </w:r>
          </w:p>
        </w:tc>
        <w:tc>
          <w:tcPr/>
          <w:p>
            <w:pPr>
              <w:pStyle w:val="Compact"/>
            </w:pPr>
            <w:r>
              <w:t xml:space="preserve">Assemble AI-ready data bundle with analytical prompt</w:t>
            </w:r>
          </w:p>
        </w:tc>
      </w:tr>
      <w:tr>
        <w:tc>
          <w:tcPr/>
          <w:p>
            <w:pPr>
              <w:pStyle w:val="Compact"/>
            </w:pPr>
            <w:r>
              <w:rPr>
                <w:rStyle w:val="VerbatimChar"/>
              </w:rPr>
              <w:t xml:space="preserve">render_ai_docx()</w:t>
            </w:r>
          </w:p>
        </w:tc>
        <w:tc>
          <w:tcPr/>
          <w:p>
            <w:pPr>
              <w:pStyle w:val="Compact"/>
            </w:pPr>
            <w:r>
              <w:t xml:space="preserve">Convert AI-generated DOCX report to PDF via LibreOffice</w:t>
            </w:r>
          </w:p>
        </w:tc>
      </w:tr>
      <w:tr>
        <w:tc>
          <w:tcPr/>
          <w:p>
            <w:pPr>
              <w:pStyle w:val="Compact"/>
            </w:pPr>
            <w:r>
              <w:rPr>
                <w:rStyle w:val="VerbatimChar"/>
              </w:rPr>
              <w:t xml:space="preserve">submit_to_chatgpt()</w:t>
            </w:r>
          </w:p>
        </w:tc>
        <w:tc>
          <w:tcPr/>
          <w:p>
            <w:pPr>
              <w:pStyle w:val="Compact"/>
            </w:pPr>
            <w:r>
              <w:t xml:space="preserve">Submit data bundle to OpenAI and retrieve DOCX report</w:t>
            </w:r>
          </w:p>
        </w:tc>
      </w:tr>
      <w:tr>
        <w:tc>
          <w:tcPr/>
          <w:p>
            <w:pPr>
              <w:pStyle w:val="Compact"/>
            </w:pPr>
            <w:r>
              <w:rPr>
                <w:rStyle w:val="VerbatimChar"/>
              </w:rPr>
              <w:t xml:space="preserve">submit_to_claude()</w:t>
            </w:r>
          </w:p>
        </w:tc>
        <w:tc>
          <w:tcPr/>
          <w:p>
            <w:pPr>
              <w:pStyle w:val="Compact"/>
            </w:pPr>
            <w:r>
              <w:t xml:space="preserve">Submit data bundle to Anthropic and retrieve DOCX report</w:t>
            </w:r>
          </w:p>
        </w:tc>
      </w:tr>
      <w:tr>
        <w:tc>
          <w:tcPr/>
          <w:p>
            <w:pPr>
              <w:pStyle w:val="Compact"/>
            </w:pPr>
            <w:r>
              <w:rPr>
                <w:rStyle w:val="VerbatimChar"/>
              </w:rPr>
              <w:t xml:space="preserve">submit_to_claude_diag()</w:t>
            </w:r>
          </w:p>
        </w:tc>
        <w:tc>
          <w:tcPr/>
          <w:p>
            <w:pPr>
              <w:pStyle w:val="Compact"/>
            </w:pPr>
            <w:r>
              <w:t xml:space="preserve">Diagnose a failed</w:t>
            </w:r>
            <w:r>
              <w:t xml:space="preserve"> </w:t>
            </w:r>
            <w:r>
              <w:rPr>
                <w:rStyle w:val="VerbatimChar"/>
              </w:rPr>
              <w:t xml:space="preserve">submit_to_claude()</w:t>
            </w:r>
            <w:r>
              <w:t xml:space="preserve"> </w:t>
            </w:r>
            <w:r>
              <w:t xml:space="preserve">response</w:t>
            </w:r>
          </w:p>
        </w:tc>
      </w:tr>
    </w:tbl>
    <w:bookmarkEnd w:id="105"/>
    <w:bookmarkStart w:id="106" w:name="renm.reports"/>
    <w:p>
      <w:pPr>
        <w:pStyle w:val="Heading3"/>
      </w:pPr>
      <w:r>
        <w:t xml:space="preserve">rENM.reports</w:t>
      </w:r>
    </w:p>
    <w:p>
      <w:pPr>
        <w:pStyle w:val="FirstParagraph"/>
      </w:pPr>
      <w:r>
        <w:t xml:space="preserve">All functions in this package are documented in</w:t>
      </w:r>
      <w:r>
        <w:t xml:space="preserve"> </w:t>
      </w:r>
      <w:r>
        <w:rPr>
          <w:i/>
          <w:iCs/>
        </w:rPr>
        <w:t xml:space="preserve">Report Generation</w:t>
      </w:r>
      <w:r>
        <w:t xml:space="preserve"> </w:t>
      </w:r>
      <w:r>
        <w:t xml:space="preserve">and</w:t>
      </w:r>
      <w:r>
        <w:t xml:space="preserve"> </w:t>
      </w:r>
      <w:r>
        <w:rPr>
          <w:i/>
          <w:iCs/>
        </w:rPr>
        <w:t xml:space="preserve">Assembling the Final Report</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Description</w:t>
            </w:r>
          </w:p>
        </w:tc>
      </w:tr>
      <w:tr>
        <w:tc>
          <w:tcPr/>
          <w:p>
            <w:pPr>
              <w:pStyle w:val="Compact"/>
            </w:pPr>
            <w:r>
              <w:rPr>
                <w:rStyle w:val="VerbatimChar"/>
              </w:rPr>
              <w:t xml:space="preserve">assemble_centroid_trends_page()</w:t>
            </w:r>
          </w:p>
        </w:tc>
        <w:tc>
          <w:tcPr/>
          <w:p>
            <w:pPr>
              <w:pStyle w:val="Compact"/>
            </w:pPr>
            <w:r>
              <w:t xml:space="preserve">Single-page PDF: centroid trend map and table</w:t>
            </w:r>
          </w:p>
        </w:tc>
      </w:tr>
      <w:tr>
        <w:tc>
          <w:tcPr/>
          <w:p>
            <w:pPr>
              <w:pStyle w:val="Compact"/>
            </w:pPr>
            <w:r>
              <w:rPr>
                <w:rStyle w:val="VerbatimChar"/>
              </w:rPr>
              <w:t xml:space="preserve">assemble_final_report()</w:t>
            </w:r>
          </w:p>
        </w:tc>
        <w:tc>
          <w:tcPr/>
          <w:p>
            <w:pPr>
              <w:pStyle w:val="Compact"/>
            </w:pPr>
            <w:r>
              <w:t xml:space="preserve">Combine all pages into a single paginated PDF report</w:t>
            </w:r>
          </w:p>
        </w:tc>
      </w:tr>
      <w:tr>
        <w:tc>
          <w:tcPr/>
          <w:p>
            <w:pPr>
              <w:pStyle w:val="Compact"/>
            </w:pPr>
            <w:r>
              <w:rPr>
                <w:rStyle w:val="VerbatimChar"/>
              </w:rPr>
              <w:t xml:space="preserve">assemble_range_timeseries_page()</w:t>
            </w:r>
          </w:p>
        </w:tc>
        <w:tc>
          <w:tcPr/>
          <w:p>
            <w:pPr>
              <w:pStyle w:val="Compact"/>
            </w:pPr>
            <w:r>
              <w:t xml:space="preserve">Single-page PDF: range time series contact sheet</w:t>
            </w:r>
          </w:p>
        </w:tc>
      </w:tr>
      <w:tr>
        <w:tc>
          <w:tcPr/>
          <w:p>
            <w:pPr>
              <w:pStyle w:val="Compact"/>
            </w:pPr>
            <w:r>
              <w:rPr>
                <w:rStyle w:val="VerbatimChar"/>
              </w:rPr>
              <w:t xml:space="preserve">assemble_state_trends_page()</w:t>
            </w:r>
          </w:p>
        </w:tc>
        <w:tc>
          <w:tcPr/>
          <w:p>
            <w:pPr>
              <w:pStyle w:val="Compact"/>
            </w:pPr>
            <w:r>
              <w:t xml:space="preserve">Single-page PDF: state trend map, hotspot map, and table</w:t>
            </w:r>
          </w:p>
        </w:tc>
      </w:tr>
      <w:tr>
        <w:tc>
          <w:tcPr/>
          <w:p>
            <w:pPr>
              <w:pStyle w:val="Compact"/>
            </w:pPr>
            <w:r>
              <w:rPr>
                <w:rStyle w:val="VerbatimChar"/>
              </w:rPr>
              <w:t xml:space="preserve">assemble_suitability_timeseries_page()</w:t>
            </w:r>
          </w:p>
        </w:tc>
        <w:tc>
          <w:tcPr/>
          <w:p>
            <w:pPr>
              <w:pStyle w:val="Compact"/>
            </w:pPr>
            <w:r>
              <w:t xml:space="preserve">Single-page PDF: suitability time series contact sheet</w:t>
            </w:r>
          </w:p>
        </w:tc>
      </w:tr>
      <w:tr>
        <w:tc>
          <w:tcPr/>
          <w:p>
            <w:pPr>
              <w:pStyle w:val="Compact"/>
            </w:pPr>
            <w:r>
              <w:rPr>
                <w:rStyle w:val="VerbatimChar"/>
              </w:rPr>
              <w:t xml:space="preserve">assemble_suitability_trends_page()</w:t>
            </w:r>
          </w:p>
        </w:tc>
        <w:tc>
          <w:tcPr/>
          <w:p>
            <w:pPr>
              <w:pStyle w:val="Compact"/>
            </w:pPr>
            <w:r>
              <w:t xml:space="preserve">Single-page PDF: suitability trend and rate-of-change maps</w:t>
            </w:r>
          </w:p>
        </w:tc>
      </w:tr>
      <w:tr>
        <w:tc>
          <w:tcPr/>
          <w:p>
            <w:pPr>
              <w:pStyle w:val="Compact"/>
            </w:pPr>
            <w:r>
              <w:rPr>
                <w:rStyle w:val="VerbatimChar"/>
              </w:rPr>
              <w:t xml:space="preserve">assemble_variable_trend_maps_page()</w:t>
            </w:r>
          </w:p>
        </w:tc>
        <w:tc>
          <w:tcPr/>
          <w:p>
            <w:pPr>
              <w:pStyle w:val="Compact"/>
            </w:pPr>
            <w:r>
              <w:t xml:space="preserve">Single-page PDF: variable trend map composites</w:t>
            </w:r>
          </w:p>
        </w:tc>
      </w:tr>
      <w:tr>
        <w:tc>
          <w:tcPr/>
          <w:p>
            <w:pPr>
              <w:pStyle w:val="Compact"/>
            </w:pPr>
            <w:r>
              <w:rPr>
                <w:rStyle w:val="VerbatimChar"/>
              </w:rPr>
              <w:t xml:space="preserve">assemble_variable_trends_page()</w:t>
            </w:r>
          </w:p>
        </w:tc>
        <w:tc>
          <w:tcPr/>
          <w:p>
            <w:pPr>
              <w:pStyle w:val="Compact"/>
            </w:pPr>
            <w:r>
              <w:t xml:space="preserve">Single-page PDF: variable contributions plot and table</w:t>
            </w:r>
          </w:p>
        </w:tc>
      </w:tr>
      <w:tr>
        <w:tc>
          <w:tcPr/>
          <w:p>
            <w:pPr>
              <w:pStyle w:val="Compact"/>
            </w:pPr>
            <w:r>
              <w:rPr>
                <w:rStyle w:val="VerbatimChar"/>
              </w:rPr>
              <w:t xml:space="preserve">create_centroid_trend_summary_table()</w:t>
            </w:r>
          </w:p>
        </w:tc>
        <w:tc>
          <w:tcPr/>
          <w:p>
            <w:pPr>
              <w:pStyle w:val="Compact"/>
            </w:pPr>
            <w:r>
              <w:t xml:space="preserve">Centroid shift and regression summary table</w:t>
            </w:r>
          </w:p>
        </w:tc>
      </w:tr>
      <w:tr>
        <w:tc>
          <w:tcPr/>
          <w:p>
            <w:pPr>
              <w:pStyle w:val="Compact"/>
            </w:pPr>
            <w:r>
              <w:rPr>
                <w:rStyle w:val="VerbatimChar"/>
              </w:rPr>
              <w:t xml:space="preserve">create_suitability_trend_summary_table()</w:t>
            </w:r>
          </w:p>
        </w:tc>
        <w:tc>
          <w:tcPr/>
          <w:p>
            <w:pPr>
              <w:pStyle w:val="Compact"/>
            </w:pPr>
            <w:r>
              <w:t xml:space="preserve">State-level GAP range and hotspot summary table</w:t>
            </w:r>
          </w:p>
        </w:tc>
      </w:tr>
      <w:tr>
        <w:tc>
          <w:tcPr/>
          <w:p>
            <w:pPr>
              <w:pStyle w:val="Compact"/>
            </w:pPr>
            <w:r>
              <w:rPr>
                <w:rStyle w:val="VerbatimChar"/>
              </w:rPr>
              <w:t xml:space="preserve">create_variable_trend_summary_table()</w:t>
            </w:r>
          </w:p>
        </w:tc>
        <w:tc>
          <w:tcPr/>
          <w:p>
            <w:pPr>
              <w:pStyle w:val="Compact"/>
            </w:pPr>
            <w:r>
              <w:t xml:space="preserve">Variable trend statistics summary table</w:t>
            </w:r>
          </w:p>
        </w:tc>
      </w:tr>
      <w:tr>
        <w:tc>
          <w:tcPr/>
          <w:p>
            <w:pPr>
              <w:pStyle w:val="Compact"/>
            </w:pPr>
            <w:r>
              <w:rPr>
                <w:rStyle w:val="VerbatimChar"/>
              </w:rPr>
              <w:t xml:space="preserve">gather_range_maps()</w:t>
            </w:r>
          </w:p>
        </w:tc>
        <w:tc>
          <w:tcPr/>
          <w:p>
            <w:pPr>
              <w:pStyle w:val="Compact"/>
            </w:pPr>
            <w:r>
              <w:t xml:space="preserve">Assemble range map contact sheet</w:t>
            </w:r>
          </w:p>
        </w:tc>
      </w:tr>
      <w:tr>
        <w:tc>
          <w:tcPr/>
          <w:p>
            <w:pPr>
              <w:pStyle w:val="Compact"/>
            </w:pPr>
            <w:r>
              <w:rPr>
                <w:rStyle w:val="VerbatimChar"/>
              </w:rPr>
              <w:t xml:space="preserve">gather_suitability_maps()</w:t>
            </w:r>
          </w:p>
        </w:tc>
        <w:tc>
          <w:tcPr/>
          <w:p>
            <w:pPr>
              <w:pStyle w:val="Compact"/>
            </w:pPr>
            <w:r>
              <w:t xml:space="preserve">Assemble suitability map contact sheet</w:t>
            </w:r>
          </w:p>
        </w:tc>
      </w:tr>
      <w:tr>
        <w:tc>
          <w:tcPr/>
          <w:p>
            <w:pPr>
              <w:pStyle w:val="Compact"/>
            </w:pPr>
            <w:r>
              <w:rPr>
                <w:rStyle w:val="VerbatimChar"/>
              </w:rPr>
              <w:t xml:space="preserve">gather_suitability_trend_stats()</w:t>
            </w:r>
          </w:p>
        </w:tc>
        <w:tc>
          <w:tcPr/>
          <w:p>
            <w:pPr>
              <w:pStyle w:val="Compact"/>
            </w:pPr>
            <w:r>
              <w:t xml:space="preserve">Merge state-level suitability and hotspot statistics</w:t>
            </w:r>
          </w:p>
        </w:tc>
      </w:tr>
      <w:tr>
        <w:tc>
          <w:tcPr/>
          <w:p>
            <w:pPr>
              <w:pStyle w:val="Compact"/>
            </w:pPr>
            <w:r>
              <w:rPr>
                <w:rStyle w:val="VerbatimChar"/>
              </w:rPr>
              <w:t xml:space="preserve">gather_top_variable_trend_maps()</w:t>
            </w:r>
          </w:p>
        </w:tc>
        <w:tc>
          <w:tcPr/>
          <w:p>
            <w:pPr>
              <w:pStyle w:val="Compact"/>
            </w:pPr>
            <w:r>
              <w:t xml:space="preserve">Assemble variable trend map composites</w:t>
            </w:r>
          </w:p>
        </w:tc>
      </w:tr>
    </w:tbl>
    <w:bookmarkEnd w:id="106"/>
    <w:bookmarkEnd w:id="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6" Target="media/rId96.png" /><Relationship Type="http://schemas.openxmlformats.org/officeDocument/2006/relationships/image" Id="rId11" Target="media/rId11.png" /><Relationship Type="http://schemas.openxmlformats.org/officeDocument/2006/relationships/hyperlink" Id="rId71" Target="https://console.anthropic.com" TargetMode="External" /><Relationship Type="http://schemas.openxmlformats.org/officeDocument/2006/relationships/hyperlink" Id="rId94" Target="https://doi.org/10.1371/journal.pone.0237208" TargetMode="External" /><Relationship Type="http://schemas.openxmlformats.org/officeDocument/2006/relationships/hyperlink" Id="rId93" Target="https://doi.org/10.1371/journal.pone.0257502" TargetMode="External" /><Relationship Type="http://schemas.openxmlformats.org/officeDocument/2006/relationships/hyperlink" Id="rId89" Target="https://doi.org/10.1894/0038-4909-70.1.7" TargetMode="External" /><Relationship Type="http://schemas.openxmlformats.org/officeDocument/2006/relationships/hyperlink" Id="rId92" Target="https://doi.org/10.2760/46796" TargetMode="External" /><Relationship Type="http://schemas.openxmlformats.org/officeDocument/2006/relationships/hyperlink" Id="rId91" Target="https://doi.org/10.5751/JFO-00432-950109" TargetMode="External" /><Relationship Type="http://schemas.openxmlformats.org/officeDocument/2006/relationships/hyperlink" Id="rId90" Target="https://doi.org/10.5751/JFO-00691-960303" TargetMode="External" /><Relationship Type="http://schemas.openxmlformats.org/officeDocument/2006/relationships/hyperlink" Id="rId9" Target="https://github.com/rENM-Framework" TargetMode="External" /><Relationship Type="http://schemas.openxmlformats.org/officeDocument/2006/relationships/hyperlink" Id="rId25" Target="https://github.com/rENM-Framework/rENM-scripts" TargetMode="External" /><Relationship Type="http://schemas.openxmlformats.org/officeDocument/2006/relationships/hyperlink" Id="rId72" Target="https://platform.openai.com" TargetMode="External" /><Relationship Type="http://schemas.openxmlformats.org/officeDocument/2006/relationships/hyperlink" Id="rId80" Target="https://science.ebird.org/en/use-ebird-data/download-ebird-data-products" TargetMode="External" /><Relationship Type="http://schemas.openxmlformats.org/officeDocument/2006/relationships/hyperlink" Id="rId21" Target="https://www.google.com/chrome/" TargetMode="External" /><Relationship Type="http://schemas.openxmlformats.org/officeDocument/2006/relationships/hyperlink" Id="rId19" Target="https://www.libreoffice.org" TargetMode="External" /><Relationship Type="http://schemas.openxmlformats.org/officeDocument/2006/relationships/hyperlink" Id="rId83" Target="https://www.sciencebase.gov/catalog/item/5951527de4b062508e3b1e79" TargetMode="External" /><Relationship Type="http://schemas.openxmlformats.org/officeDocument/2006/relationships/hyperlink" Id="rId82" Target="https://www.usgs.gov/data/us-geological-survey-gap-analysis-project-species-range-maps-conus2001" TargetMode="External" /></Relationships>
</file>

<file path=word/_rels/footnotes.xml.rels><?xml version="1.0" encoding="UTF-8"?><Relationships xmlns="http://schemas.openxmlformats.org/package/2006/relationships"><Relationship Type="http://schemas.openxmlformats.org/officeDocument/2006/relationships/hyperlink" Id="rId71" Target="https://console.anthropic.com" TargetMode="External" /><Relationship Type="http://schemas.openxmlformats.org/officeDocument/2006/relationships/hyperlink" Id="rId94" Target="https://doi.org/10.1371/journal.pone.0237208" TargetMode="External" /><Relationship Type="http://schemas.openxmlformats.org/officeDocument/2006/relationships/hyperlink" Id="rId93" Target="https://doi.org/10.1371/journal.pone.0257502" TargetMode="External" /><Relationship Type="http://schemas.openxmlformats.org/officeDocument/2006/relationships/hyperlink" Id="rId89" Target="https://doi.org/10.1894/0038-4909-70.1.7" TargetMode="External" /><Relationship Type="http://schemas.openxmlformats.org/officeDocument/2006/relationships/hyperlink" Id="rId92" Target="https://doi.org/10.2760/46796" TargetMode="External" /><Relationship Type="http://schemas.openxmlformats.org/officeDocument/2006/relationships/hyperlink" Id="rId91" Target="https://doi.org/10.5751/JFO-00432-950109" TargetMode="External" /><Relationship Type="http://schemas.openxmlformats.org/officeDocument/2006/relationships/hyperlink" Id="rId90" Target="https://doi.org/10.5751/JFO-00691-960303" TargetMode="External" /><Relationship Type="http://schemas.openxmlformats.org/officeDocument/2006/relationships/hyperlink" Id="rId9" Target="https://github.com/rENM-Framework" TargetMode="External" /><Relationship Type="http://schemas.openxmlformats.org/officeDocument/2006/relationships/hyperlink" Id="rId25" Target="https://github.com/rENM-Framework/rENM-scripts" TargetMode="External" /><Relationship Type="http://schemas.openxmlformats.org/officeDocument/2006/relationships/hyperlink" Id="rId72" Target="https://platform.openai.com" TargetMode="External" /><Relationship Type="http://schemas.openxmlformats.org/officeDocument/2006/relationships/hyperlink" Id="rId80" Target="https://science.ebird.org/en/use-ebird-data/download-ebird-data-products" TargetMode="External" /><Relationship Type="http://schemas.openxmlformats.org/officeDocument/2006/relationships/hyperlink" Id="rId21" Target="https://www.google.com/chrome/" TargetMode="External" /><Relationship Type="http://schemas.openxmlformats.org/officeDocument/2006/relationships/hyperlink" Id="rId19" Target="https://www.libreoffice.org" TargetMode="External" /><Relationship Type="http://schemas.openxmlformats.org/officeDocument/2006/relationships/hyperlink" Id="rId83" Target="https://www.sciencebase.gov/catalog/item/5951527de4b062508e3b1e79" TargetMode="External" /><Relationship Type="http://schemas.openxmlformats.org/officeDocument/2006/relationships/hyperlink" Id="rId82" Target="https://www.usgs.gov/data/us-geological-survey-gap-analysis-project-species-range-maps-conus200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rENM Framework User Manual</dc:title>
  <dc:creator>John L. Schnase</dc:creator>
  <cp:keywords/>
  <dcterms:created xsi:type="dcterms:W3CDTF">2026-06-21T15:55:15Z</dcterms:created>
  <dcterms:modified xsi:type="dcterms:W3CDTF">2026-06-21T15:55:15Z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2026-06-21</vt:lpwstr>
  </property>
  <property fmtid="{D5CDD505-2E9C-101B-9397-08002B2CF9AE}" pid="6" name="engine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number-depth">
    <vt:lpwstr>2</vt:lpwstr>
  </property>
  <property fmtid="{D5CDD505-2E9C-101B-9397-08002B2CF9AE}" pid="13" name="subtitle">
    <vt:lpwstr>Version 0.1.0</vt:lpwstr>
  </property>
  <property fmtid="{D5CDD505-2E9C-101B-9397-08002B2CF9AE}" pid="14" name="toc-title">
    <vt:lpwstr>Table of contents</vt:lpwstr>
  </property>
</Properties>
</file>